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69353C1E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227DB1B" w14:textId="77777777" w:rsidR="007A7719" w:rsidRDefault="007A7719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445D4D6" w14:textId="77777777" w:rsidR="007A7719" w:rsidRDefault="007A7719" w:rsidP="004E510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7719">
        <w:rPr>
          <w:rFonts w:ascii="Times New Roman" w:hAnsi="Times New Roman" w:cs="Times New Roman"/>
          <w:b/>
          <w:sz w:val="28"/>
          <w:szCs w:val="28"/>
        </w:rPr>
        <w:t>Вступил в законную силу приговор по уголовному делу об убийстве школьного сторожа в Ачинске в 2003 году</w:t>
      </w:r>
    </w:p>
    <w:p w14:paraId="52B0E0DD" w14:textId="77777777" w:rsidR="007A7719" w:rsidRDefault="007A7719" w:rsidP="007A7719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Красноярский краевой суд рассмотрел приговор Ачинского городского суда от 26 марта 2024 г. в отношении двух уроженцев г. Ачинск. Они осуждены по пп. «ж», «и» ч. 2 ст. 105 УК РФ (убийство группой лиц из хулиганских побуждений).</w:t>
      </w:r>
    </w:p>
    <w:p w14:paraId="66AF5F04" w14:textId="77777777" w:rsidR="007A7719" w:rsidRDefault="007A7719" w:rsidP="007A7719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Суд первой инстанции установил, что в ночное время в марте 2003 г. осужденные, находясь в состоянии алкогольного опьянения, используя малозначительный повод в качестве предлога, нанесли 65-летнему сторожу одной из школ г. Ачинск многочисленные удары в область жизненно важных органов, от которых потерпевший скончался. За совершенное преступление каждому из осужденных судом назначено наказание в виде лишения свободы на срок до 14 лет.</w:t>
      </w:r>
    </w:p>
    <w:p w14:paraId="70DD0965" w14:textId="77777777" w:rsidR="007A7719" w:rsidRDefault="007A7719" w:rsidP="007A7719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Доводы апелляционных жалоб стороны защиты об изменении квалификации и освобождении от уголовной ответственности в связи с истечением сроков давности оставлены без удовлетворения.</w:t>
      </w:r>
    </w:p>
    <w:p w14:paraId="6ABE6BF0" w14:textId="77777777" w:rsidR="007A7719" w:rsidRDefault="007A7719" w:rsidP="007A7719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Приговор вступил в законную силу.</w:t>
      </w:r>
    </w:p>
    <w:p w14:paraId="16E7C098" w14:textId="4D77FA2D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274FD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C75FF"/>
    <w:rsid w:val="000D6EED"/>
    <w:rsid w:val="000F1ADE"/>
    <w:rsid w:val="00117F8F"/>
    <w:rsid w:val="00151676"/>
    <w:rsid w:val="00166380"/>
    <w:rsid w:val="00193729"/>
    <w:rsid w:val="001A265B"/>
    <w:rsid w:val="001A26CB"/>
    <w:rsid w:val="001C3179"/>
    <w:rsid w:val="001C57B6"/>
    <w:rsid w:val="001E7F76"/>
    <w:rsid w:val="001F2BBE"/>
    <w:rsid w:val="00215558"/>
    <w:rsid w:val="0022002A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43AA"/>
    <w:rsid w:val="00314F56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02C7"/>
    <w:rsid w:val="003B6D9E"/>
    <w:rsid w:val="003C36A6"/>
    <w:rsid w:val="003C7291"/>
    <w:rsid w:val="003D32E2"/>
    <w:rsid w:val="003D53D5"/>
    <w:rsid w:val="003D68EE"/>
    <w:rsid w:val="003E19BA"/>
    <w:rsid w:val="00402683"/>
    <w:rsid w:val="004143DC"/>
    <w:rsid w:val="00415D2E"/>
    <w:rsid w:val="004414A5"/>
    <w:rsid w:val="00442744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6895"/>
    <w:rsid w:val="004B232C"/>
    <w:rsid w:val="004B4445"/>
    <w:rsid w:val="004C4DAD"/>
    <w:rsid w:val="004D1795"/>
    <w:rsid w:val="004E5102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1927"/>
    <w:rsid w:val="005771CB"/>
    <w:rsid w:val="00583332"/>
    <w:rsid w:val="005837CF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A7719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32A"/>
    <w:rsid w:val="00836AB0"/>
    <w:rsid w:val="00844EC8"/>
    <w:rsid w:val="008506E7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4082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D6C32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C00F7"/>
    <w:rsid w:val="00BD48BC"/>
    <w:rsid w:val="00BD7291"/>
    <w:rsid w:val="00BE6E3A"/>
    <w:rsid w:val="00C07754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2358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3546D"/>
    <w:rsid w:val="00F419C0"/>
    <w:rsid w:val="00F4444B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37EF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  <w:style w:type="table" w:styleId="af1">
    <w:name w:val="Table Grid"/>
    <w:basedOn w:val="a1"/>
    <w:uiPriority w:val="59"/>
    <w:rsid w:val="00220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57</cp:revision>
  <cp:lastPrinted>2024-01-09T04:46:00Z</cp:lastPrinted>
  <dcterms:created xsi:type="dcterms:W3CDTF">2022-04-18T09:44:00Z</dcterms:created>
  <dcterms:modified xsi:type="dcterms:W3CDTF">2024-06-23T17:16:00Z</dcterms:modified>
</cp:coreProperties>
</file>