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590" w:rsidRPr="00ED75FC" w:rsidRDefault="00CD1590" w:rsidP="00CD1590">
      <w:pPr>
        <w:tabs>
          <w:tab w:val="left" w:pos="9240"/>
        </w:tabs>
        <w:spacing w:after="0"/>
        <w:ind w:right="1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5F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590" w:rsidRPr="001C08D5" w:rsidRDefault="00CD1590" w:rsidP="00CD15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 xml:space="preserve">КРАСНОЯРСКИЙ  КРАЙ </w:t>
      </w:r>
    </w:p>
    <w:p w:rsidR="00CD1590" w:rsidRPr="001C08D5" w:rsidRDefault="00CD1590" w:rsidP="00CD15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>АЧИНСКИЙ  РАЙОН</w:t>
      </w:r>
    </w:p>
    <w:p w:rsidR="00CD1590" w:rsidRPr="001C08D5" w:rsidRDefault="00CD1590" w:rsidP="00CD15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>МАЛИНОВСКИЙ СЕЛЬСКИЙ   СОВЕТ  ДЕПУТАТОВ</w:t>
      </w:r>
    </w:p>
    <w:p w:rsidR="00CD1590" w:rsidRPr="001C08D5" w:rsidRDefault="00CD1590" w:rsidP="00CD15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590" w:rsidRPr="001C08D5" w:rsidRDefault="00CD1590" w:rsidP="00CD15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8D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D1590" w:rsidRPr="001C08D5" w:rsidRDefault="00CD1590" w:rsidP="00CD15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D1590" w:rsidRPr="001C08D5" w:rsidTr="00EF1C13">
        <w:tc>
          <w:tcPr>
            <w:tcW w:w="3190" w:type="dxa"/>
          </w:tcPr>
          <w:p w:rsidR="00CD1590" w:rsidRPr="001C08D5" w:rsidRDefault="004B51A5" w:rsidP="004B51A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CD1590"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D159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D1590"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CD159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190" w:type="dxa"/>
          </w:tcPr>
          <w:p w:rsidR="00CD1590" w:rsidRPr="001C08D5" w:rsidRDefault="00CD1590" w:rsidP="00EF1C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CD1590" w:rsidRPr="001C08D5" w:rsidRDefault="00CD1590" w:rsidP="004B51A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№ </w:t>
            </w:r>
            <w:r w:rsidR="004B51A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B51A5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         </w:t>
            </w:r>
          </w:p>
        </w:tc>
      </w:tr>
    </w:tbl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A4037" w:rsidRPr="00CD1590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1590">
        <w:rPr>
          <w:rFonts w:ascii="Times New Roman" w:eastAsia="Calibri" w:hAnsi="Times New Roman" w:cs="Times New Roman"/>
          <w:bCs/>
          <w:sz w:val="24"/>
          <w:szCs w:val="24"/>
        </w:rPr>
        <w:t>Об утверждении Порядка расчета и</w:t>
      </w:r>
    </w:p>
    <w:p w:rsidR="004A4037" w:rsidRPr="00CD1590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1590">
        <w:rPr>
          <w:rFonts w:ascii="Times New Roman" w:eastAsia="Calibri" w:hAnsi="Times New Roman" w:cs="Times New Roman"/>
          <w:bCs/>
          <w:sz w:val="24"/>
          <w:szCs w:val="24"/>
        </w:rPr>
        <w:t>возврата сумм инициативных платежей,</w:t>
      </w:r>
    </w:p>
    <w:p w:rsidR="004A4037" w:rsidRPr="00CD1590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1590">
        <w:rPr>
          <w:rFonts w:ascii="Times New Roman" w:eastAsia="Calibri" w:hAnsi="Times New Roman" w:cs="Times New Roman"/>
          <w:bCs/>
          <w:sz w:val="24"/>
          <w:szCs w:val="24"/>
        </w:rPr>
        <w:t>подлежащих возврату лицам (в том числе организациям),</w:t>
      </w:r>
    </w:p>
    <w:p w:rsidR="004A4037" w:rsidRPr="00CD1590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1590">
        <w:rPr>
          <w:rFonts w:ascii="Times New Roman" w:eastAsia="Calibri" w:hAnsi="Times New Roman" w:cs="Times New Roman"/>
          <w:bCs/>
          <w:sz w:val="24"/>
          <w:szCs w:val="24"/>
        </w:rPr>
        <w:t>осуществившим их перечисление в бюджет</w:t>
      </w:r>
    </w:p>
    <w:p w:rsidR="004A4037" w:rsidRPr="00CD1590" w:rsidRDefault="00CD1590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1590">
        <w:rPr>
          <w:rFonts w:ascii="Times New Roman" w:eastAsia="Calibri" w:hAnsi="Times New Roman" w:cs="Times New Roman"/>
          <w:bCs/>
          <w:sz w:val="24"/>
          <w:szCs w:val="24"/>
        </w:rPr>
        <w:t>Малиновского сельсовета</w:t>
      </w:r>
    </w:p>
    <w:p w:rsidR="00CD1590" w:rsidRPr="00CD1590" w:rsidRDefault="00CD1590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590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статьей </w:t>
      </w:r>
      <w:r w:rsidR="00CD1590" w:rsidRPr="00CD1590">
        <w:rPr>
          <w:rFonts w:ascii="Times New Roman" w:eastAsia="Calibri" w:hAnsi="Times New Roman" w:cs="Times New Roman"/>
          <w:sz w:val="24"/>
          <w:szCs w:val="24"/>
        </w:rPr>
        <w:t>20, 24</w:t>
      </w:r>
      <w:r w:rsidRPr="00CD1590">
        <w:rPr>
          <w:rFonts w:ascii="Times New Roman" w:eastAsia="Calibri" w:hAnsi="Times New Roman" w:cs="Times New Roman"/>
          <w:sz w:val="24"/>
          <w:szCs w:val="24"/>
        </w:rPr>
        <w:t xml:space="preserve"> Устава </w:t>
      </w:r>
      <w:r w:rsidR="00CD1590" w:rsidRPr="00CD1590">
        <w:rPr>
          <w:rFonts w:ascii="Times New Roman" w:hAnsi="Times New Roman" w:cs="Times New Roman"/>
          <w:sz w:val="24"/>
          <w:szCs w:val="24"/>
        </w:rPr>
        <w:t>Малиновского сельсовета,  Малиновский  сельский Совет депутатов</w:t>
      </w:r>
      <w:r w:rsidR="00CD1590">
        <w:rPr>
          <w:rFonts w:ascii="Times New Roman" w:hAnsi="Times New Roman" w:cs="Times New Roman"/>
          <w:sz w:val="24"/>
          <w:szCs w:val="24"/>
        </w:rPr>
        <w:t xml:space="preserve"> </w:t>
      </w:r>
      <w:r w:rsidRPr="00CD1590">
        <w:rPr>
          <w:rFonts w:ascii="Times New Roman" w:eastAsia="Calibri" w:hAnsi="Times New Roman" w:cs="Times New Roman"/>
          <w:b/>
          <w:sz w:val="24"/>
          <w:szCs w:val="24"/>
        </w:rPr>
        <w:t>РЕШИЛ</w:t>
      </w:r>
      <w:r w:rsidRPr="00CD159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A4037" w:rsidRPr="00CD1590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4037" w:rsidRPr="00CD1590" w:rsidRDefault="004A4037" w:rsidP="004A403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590">
        <w:rPr>
          <w:rFonts w:ascii="Times New Roman" w:eastAsia="Calibri" w:hAnsi="Times New Roman" w:cs="Times New Roman"/>
          <w:sz w:val="24"/>
          <w:szCs w:val="24"/>
        </w:rPr>
        <w:t>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Pr="00CD159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D1590" w:rsidRPr="00CD1590">
        <w:rPr>
          <w:rFonts w:ascii="Times New Roman" w:eastAsia="Calibri" w:hAnsi="Times New Roman" w:cs="Times New Roman"/>
          <w:sz w:val="24"/>
          <w:szCs w:val="24"/>
        </w:rPr>
        <w:t>Малиновского сельсовета</w:t>
      </w:r>
      <w:r w:rsidR="00CD159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CD1590">
        <w:rPr>
          <w:rFonts w:ascii="Times New Roman" w:eastAsia="Calibri" w:hAnsi="Times New Roman" w:cs="Times New Roman"/>
          <w:sz w:val="24"/>
          <w:szCs w:val="24"/>
        </w:rPr>
        <w:t>согласно приложению.</w:t>
      </w:r>
    </w:p>
    <w:p w:rsidR="00CD1590" w:rsidRPr="00CD1590" w:rsidRDefault="00CD1590" w:rsidP="00CD159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1590">
        <w:rPr>
          <w:rFonts w:ascii="Times New Roman" w:hAnsi="Times New Roman" w:cs="Times New Roman"/>
          <w:sz w:val="24"/>
          <w:szCs w:val="24"/>
        </w:rPr>
        <w:t>2.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CD1590" w:rsidRDefault="00CD1590" w:rsidP="00CD1590">
      <w:pPr>
        <w:jc w:val="both"/>
        <w:rPr>
          <w:rFonts w:ascii="Times New Roman" w:hAnsi="Times New Roman" w:cs="Times New Roman"/>
          <w:sz w:val="24"/>
          <w:szCs w:val="24"/>
        </w:rPr>
      </w:pPr>
      <w:r w:rsidRPr="00CD1590">
        <w:rPr>
          <w:rFonts w:ascii="Times New Roman" w:hAnsi="Times New Roman" w:cs="Times New Roman"/>
          <w:sz w:val="24"/>
          <w:szCs w:val="24"/>
        </w:rPr>
        <w:t xml:space="preserve">          3.</w:t>
      </w:r>
      <w:r w:rsidRPr="00ED75FC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вестник».</w:t>
      </w:r>
    </w:p>
    <w:p w:rsidR="004A4037" w:rsidRPr="00CD1590" w:rsidRDefault="004A4037" w:rsidP="004A4037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CD1590" w:rsidRPr="00C11917" w:rsidRDefault="00CD1590" w:rsidP="00CD1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B51A5">
        <w:rPr>
          <w:rFonts w:ascii="Times New Roman" w:hAnsi="Times New Roman" w:cs="Times New Roman"/>
          <w:sz w:val="24"/>
          <w:szCs w:val="24"/>
        </w:rPr>
        <w:t xml:space="preserve">                      И.п. </w:t>
      </w:r>
      <w:r w:rsidRPr="00C11917">
        <w:rPr>
          <w:rFonts w:ascii="Times New Roman" w:hAnsi="Times New Roman" w:cs="Times New Roman"/>
          <w:sz w:val="24"/>
          <w:szCs w:val="24"/>
        </w:rPr>
        <w:t>Глав</w:t>
      </w:r>
      <w:r w:rsidR="004B51A5">
        <w:rPr>
          <w:rFonts w:ascii="Times New Roman" w:hAnsi="Times New Roman" w:cs="Times New Roman"/>
          <w:sz w:val="24"/>
          <w:szCs w:val="24"/>
        </w:rPr>
        <w:t>ы</w:t>
      </w:r>
      <w:r w:rsidRPr="00C11917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CD1590" w:rsidRPr="00C11917" w:rsidRDefault="00CD1590" w:rsidP="00CD1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сельсовета                                                     </w:t>
      </w:r>
    </w:p>
    <w:p w:rsidR="00CD1590" w:rsidRDefault="00CD1590" w:rsidP="00CD15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______________Л.А.Кинзуль      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4B51A5">
        <w:rPr>
          <w:rFonts w:ascii="Times New Roman" w:hAnsi="Times New Roman" w:cs="Times New Roman"/>
          <w:sz w:val="24"/>
          <w:szCs w:val="24"/>
        </w:rPr>
        <w:t xml:space="preserve"> </w:t>
      </w:r>
      <w:r w:rsidRPr="00C11917">
        <w:rPr>
          <w:rFonts w:ascii="Times New Roman" w:hAnsi="Times New Roman" w:cs="Times New Roman"/>
          <w:sz w:val="24"/>
          <w:szCs w:val="24"/>
        </w:rPr>
        <w:t>__________</w:t>
      </w:r>
      <w:r w:rsidR="004B51A5">
        <w:rPr>
          <w:rFonts w:ascii="Times New Roman" w:hAnsi="Times New Roman" w:cs="Times New Roman"/>
          <w:sz w:val="24"/>
          <w:szCs w:val="24"/>
        </w:rPr>
        <w:t>О.Ф. Лейман</w:t>
      </w:r>
    </w:p>
    <w:p w:rsidR="00CD1590" w:rsidRDefault="00CD1590" w:rsidP="00CD15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«___»__________2021 г.                                                              «___»__________2021 г.</w:t>
      </w:r>
    </w:p>
    <w:p w:rsidR="004A4037" w:rsidRDefault="004A4037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590" w:rsidRDefault="00CD1590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590" w:rsidRDefault="00CD1590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590" w:rsidRDefault="00CD1590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590" w:rsidRDefault="00CD1590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590" w:rsidRDefault="00CD1590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590" w:rsidRDefault="00CD1590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590" w:rsidRDefault="00CD1590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590" w:rsidRDefault="00CD1590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590" w:rsidRPr="00CD1590" w:rsidRDefault="00CD1590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4037" w:rsidRPr="00CD1590" w:rsidRDefault="004A4037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590" w:rsidRPr="00CD1590" w:rsidRDefault="00CD1590" w:rsidP="00CD15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CD159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D1590" w:rsidRPr="00CD1590" w:rsidRDefault="00CD1590" w:rsidP="00CD15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1590">
        <w:rPr>
          <w:rFonts w:ascii="Times New Roman" w:hAnsi="Times New Roman" w:cs="Times New Roman"/>
          <w:sz w:val="24"/>
          <w:szCs w:val="24"/>
        </w:rPr>
        <w:t xml:space="preserve">к решению Малиновского </w:t>
      </w:r>
    </w:p>
    <w:p w:rsidR="00CD1590" w:rsidRPr="00CD1590" w:rsidRDefault="00CD1590" w:rsidP="00CD15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1590">
        <w:rPr>
          <w:rFonts w:ascii="Times New Roman" w:hAnsi="Times New Roman" w:cs="Times New Roman"/>
          <w:sz w:val="24"/>
          <w:szCs w:val="24"/>
        </w:rPr>
        <w:t xml:space="preserve">сельского Совета </w:t>
      </w:r>
    </w:p>
    <w:p w:rsidR="00CD1590" w:rsidRPr="00CD1590" w:rsidRDefault="00CD1590" w:rsidP="00CD15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1590">
        <w:rPr>
          <w:rFonts w:ascii="Times New Roman" w:hAnsi="Times New Roman" w:cs="Times New Roman"/>
          <w:sz w:val="24"/>
          <w:szCs w:val="24"/>
        </w:rPr>
        <w:t xml:space="preserve">от </w:t>
      </w:r>
      <w:r w:rsidR="004B51A5">
        <w:rPr>
          <w:rFonts w:ascii="Times New Roman" w:hAnsi="Times New Roman" w:cs="Times New Roman"/>
          <w:sz w:val="24"/>
          <w:szCs w:val="24"/>
        </w:rPr>
        <w:t>25</w:t>
      </w:r>
      <w:r w:rsidRPr="00CD1590">
        <w:rPr>
          <w:rFonts w:ascii="Times New Roman" w:hAnsi="Times New Roman" w:cs="Times New Roman"/>
          <w:sz w:val="24"/>
          <w:szCs w:val="24"/>
        </w:rPr>
        <w:t>.0</w:t>
      </w:r>
      <w:r w:rsidR="004B51A5">
        <w:rPr>
          <w:rFonts w:ascii="Times New Roman" w:hAnsi="Times New Roman" w:cs="Times New Roman"/>
          <w:sz w:val="24"/>
          <w:szCs w:val="24"/>
        </w:rPr>
        <w:t>6.2021 № 9</w:t>
      </w:r>
      <w:r w:rsidRPr="00CD1590">
        <w:rPr>
          <w:rFonts w:ascii="Times New Roman" w:hAnsi="Times New Roman" w:cs="Times New Roman"/>
          <w:sz w:val="24"/>
          <w:szCs w:val="24"/>
        </w:rPr>
        <w:t>-</w:t>
      </w:r>
      <w:r w:rsidR="004B51A5">
        <w:rPr>
          <w:rFonts w:ascii="Times New Roman" w:hAnsi="Times New Roman" w:cs="Times New Roman"/>
          <w:sz w:val="24"/>
          <w:szCs w:val="24"/>
        </w:rPr>
        <w:t>31</w:t>
      </w:r>
      <w:r w:rsidRPr="00CD1590">
        <w:rPr>
          <w:rFonts w:ascii="Times New Roman" w:hAnsi="Times New Roman" w:cs="Times New Roman"/>
          <w:sz w:val="24"/>
          <w:szCs w:val="24"/>
        </w:rPr>
        <w:t>Р</w:t>
      </w:r>
    </w:p>
    <w:p w:rsidR="004A4037" w:rsidRPr="00CD1590" w:rsidRDefault="004A4037" w:rsidP="00CD1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</w:t>
      </w:r>
    </w:p>
    <w:p w:rsidR="00CD1590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расчета и возврата сумм инициативных платежей, подлежащих возврату лицам</w:t>
      </w:r>
    </w:p>
    <w:p w:rsidR="00CD1590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(в том числе организациям), осуществившим их перечисление </w:t>
      </w:r>
    </w:p>
    <w:p w:rsidR="004A4037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бюджет </w:t>
      </w:r>
      <w:r w:rsidR="00CD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Малиновского сельсовета</w:t>
      </w:r>
    </w:p>
    <w:p w:rsidR="00CD1590" w:rsidRPr="00CD1590" w:rsidRDefault="00CD1590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В случае, если инициативный проект не был </w:t>
      </w:r>
      <w:bookmarkStart w:id="1" w:name="_GoBack"/>
      <w:bookmarkEnd w:id="1"/>
      <w:r w:rsidRPr="00CD15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r w:rsidR="00CD159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CD15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Малиновского сельсовета </w:t>
      </w:r>
      <w:r w:rsidRPr="00CD15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(далее - денежные средства, подлежащие возврату).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>Сумма, подлежащая возврату лицам (в том числе организациям), осуществившим их перечисление в бюджет определяется по формуле: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>Sвоз = (Pп - Pфакт) x kсоф.,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>где: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>Sвоз - сумма средств, подлежащая возврату;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>Pп - стоимость Проекта, принятого к реализации с учетом инициативных платежей;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>Pфакт - фактически произведенные расходы на реализацию Проекта;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>kсоф - процент софинансирования - доля инициативных платежей от общей стоимости инициативного проекта (не менее 3%), рассчитывается по формуле: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>kсоф = Sип / Pп x 100%,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>где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>Sип - размер инициативных платежей, согласно договору пожертвования.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3. Остаток средств от инициативных платежей подлежит возврату администраторами доходов бюджета </w:t>
      </w:r>
      <w:r w:rsidR="00984B30" w:rsidRPr="00984B30">
        <w:rPr>
          <w:rFonts w:ascii="PT Astra Serif" w:eastAsia="Times New Roman" w:hAnsi="PT Astra Serif" w:cs="Times New Roman"/>
          <w:sz w:val="24"/>
          <w:szCs w:val="24"/>
          <w:lang w:eastAsia="ru-RU"/>
        </w:rPr>
        <w:t>Малиновского сельсовета</w:t>
      </w: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- администратор) на банковские реквизиты, указанные в платежном поручении на перечисление подлежащих возврату инициативных платежей.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>4. Возврат плательщикам инициативных платежей по реквизитам плательщика, отличным от реквизитов плательщика, указанным в платежном поручении на перечисление подлежащих возврату инициативных платежей, осуществляется на основании письменного заявления плательщика на имя руководителя администратора, с указанием соответствующих реквизитов.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>5. Решение администратора о возврате инициативных платежей (далее - Решение) оформляется по форме согласно приложению № 1 к настоящему Порядку.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>6. На основании Решения администратор формирует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Федерации.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7. Лицам (в том числе организациям), осуществившим перечисление инициативных платежей в бюджет </w:t>
      </w:r>
      <w:r w:rsidR="00CD15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Малиновского сельсовета</w:t>
      </w: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не подлежит возмещению из бюджета </w:t>
      </w:r>
      <w:r w:rsidR="00CD15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Малиновского сельсовета </w:t>
      </w:r>
      <w:r w:rsidRPr="00CD159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расходы, понесенные ими при перечислении инициативных платежей в бюджет </w:t>
      </w:r>
      <w:r w:rsidR="00CD15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Малиновского сельсовета</w:t>
      </w:r>
      <w:r w:rsidRPr="00CD1590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.</w:t>
      </w: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A4037" w:rsidRPr="00CD1590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A4037" w:rsidRPr="00CD1590" w:rsidRDefault="004A4037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eastAsia="Times New Roman" w:hAnsi="PT Astra Serif" w:cs="PT Astra Serif"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PT Astra Serif"/>
          <w:sz w:val="24"/>
          <w:szCs w:val="24"/>
          <w:lang w:eastAsia="ru-RU"/>
        </w:rPr>
        <w:lastRenderedPageBreak/>
        <w:t>Приложение № 1</w:t>
      </w:r>
    </w:p>
    <w:p w:rsidR="004A4037" w:rsidRPr="00CD1590" w:rsidRDefault="004A4037" w:rsidP="004A4037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PT Astra Serif"/>
          <w:i/>
          <w:sz w:val="24"/>
          <w:szCs w:val="24"/>
          <w:lang w:eastAsia="ru-RU"/>
        </w:rPr>
      </w:pPr>
      <w:r w:rsidRPr="00CD1590">
        <w:rPr>
          <w:rFonts w:ascii="PT Astra Serif" w:eastAsia="Times New Roman" w:hAnsi="PT Astra Serif" w:cs="PT Astra Serif"/>
          <w:sz w:val="24"/>
          <w:szCs w:val="24"/>
          <w:lang w:eastAsia="ru-RU"/>
        </w:rPr>
        <w:t xml:space="preserve">к Порядку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CD15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Малиновского сельсовета</w:t>
      </w:r>
    </w:p>
    <w:p w:rsidR="004A4037" w:rsidRPr="00CD1590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№</w:t>
      </w:r>
      <w:r w:rsidRPr="00CD159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___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администратора поступлений в бюджет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возврате инициативных платежей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 20___ г.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 поступлений в бюджет</w:t>
      </w:r>
      <w:r w:rsidR="00CD1590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CD159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                        ┌────────┐</w:t>
      </w:r>
    </w:p>
    <w:p w:rsid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Плательщик:</w:t>
      </w:r>
      <w:r w:rsidRPr="00CD159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____________________________________________  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CD1590">
        <w:rPr>
          <w:rFonts w:ascii="Courier New" w:eastAsia="Times New Roman" w:hAnsi="Courier New" w:cs="Courier New"/>
          <w:sz w:val="24"/>
          <w:szCs w:val="24"/>
          <w:lang w:eastAsia="ru-RU"/>
        </w:rPr>
        <w:t>│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</w:t>
      </w:r>
      <w:r w:rsidRPr="00CD1590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учреждения, организации, Ф.И.О.</w:t>
      </w:r>
      <w:r w:rsidR="00CD159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физического л</w:t>
      </w:r>
      <w:r w:rsidRPr="00CD1590">
        <w:rPr>
          <w:rFonts w:ascii="Times New Roman" w:eastAsia="Times New Roman" w:hAnsi="Times New Roman" w:cs="Times New Roman"/>
          <w:sz w:val="16"/>
          <w:szCs w:val="16"/>
          <w:lang w:eastAsia="ru-RU"/>
        </w:rPr>
        <w:t>ица)</w:t>
      </w:r>
      <w:r w:rsidRPr="00CD159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                                    ┌────────┐</w:t>
      </w:r>
    </w:p>
    <w:p w:rsidR="00CD1590" w:rsidRDefault="00CD1590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 w:rsidRPr="00CD159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│        </w:t>
      </w:r>
      <w:r w:rsidR="004A4037" w:rsidRPr="00CD159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_________________________________________________________  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 w:rsidRPr="00CD159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│        │                                                                 └────────┘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 плательщика: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CD1590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___________________________________________________________________________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Единица измерения: руб.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заявления плательщика от ___________________ 20___ г. и представленных документов проведена проверка и установлено наличие не израсходованных (излишне уплаченных) инициативных платежей в размере ___________________ рублей.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(сумма прописью)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проверки документов принято решение о возврате неизрасходованных (излишне уплаченных) инициативных платежей плательщику.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16"/>
        <w:gridCol w:w="1264"/>
        <w:gridCol w:w="1349"/>
        <w:gridCol w:w="1362"/>
        <w:gridCol w:w="740"/>
        <w:gridCol w:w="1020"/>
        <w:gridCol w:w="680"/>
        <w:gridCol w:w="907"/>
      </w:tblGrid>
      <w:tr w:rsidR="004A4037" w:rsidRPr="00CD1590" w:rsidTr="00EF3AB7">
        <w:tc>
          <w:tcPr>
            <w:tcW w:w="6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Банковские реквизиты плательщика - получателя суммы возврата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Сумма</w:t>
            </w:r>
          </w:p>
        </w:tc>
      </w:tr>
      <w:tr w:rsidR="004A4037" w:rsidRPr="00CD1590" w:rsidTr="00EF3AB7"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Наименование банка</w:t>
            </w:r>
          </w:p>
        </w:tc>
        <w:tc>
          <w:tcPr>
            <w:tcW w:w="4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Номер счета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 xml:space="preserve">по </w:t>
            </w:r>
            <w:hyperlink r:id="rId8" w:history="1">
              <w:r w:rsidRPr="00CD1590">
                <w:rPr>
                  <w:rFonts w:ascii="PT Astra Serif" w:eastAsia="Times New Roman" w:hAnsi="PT Astra Serif" w:cs="PT Astra Serif"/>
                  <w:sz w:val="20"/>
                  <w:szCs w:val="20"/>
                  <w:lang w:eastAsia="ru-RU"/>
                </w:rPr>
                <w:t>ОКАТО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по БК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</w:tr>
      <w:tr w:rsidR="004A4037" w:rsidRPr="00CD1590" w:rsidTr="00EF3AB7"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отделения банка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расчетного (лицевого)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корреспондентского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</w:tr>
      <w:tr w:rsidR="004A4037" w:rsidRPr="00CD1590" w:rsidTr="00CD1590">
        <w:trPr>
          <w:trHeight w:val="32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  <w:r w:rsidRPr="00CD1590"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  <w:t>8</w:t>
            </w:r>
          </w:p>
        </w:tc>
      </w:tr>
      <w:tr w:rsidR="004A4037" w:rsidRPr="00CD1590" w:rsidTr="00CD1590">
        <w:trPr>
          <w:trHeight w:val="96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</w:tr>
      <w:tr w:rsidR="004A4037" w:rsidRPr="00CD1590" w:rsidTr="00EF3AB7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CD1590" w:rsidRDefault="004A4037" w:rsidP="00CD1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0"/>
                <w:szCs w:val="20"/>
                <w:lang w:eastAsia="ru-RU"/>
              </w:rPr>
            </w:pPr>
          </w:p>
        </w:tc>
      </w:tr>
    </w:tbl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_______________ _______________________________________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(подпись)                            (расшифровка подписи)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 ___________ ____________________ _________</w:t>
      </w:r>
    </w:p>
    <w:p w:rsidR="004A4037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(должность)   (подпись)    (расшифровка подписи)  (телефон)</w:t>
      </w:r>
    </w:p>
    <w:p w:rsidR="000B53B9" w:rsidRPr="00CD1590" w:rsidRDefault="004A4037" w:rsidP="00CD159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D159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20___ г.</w:t>
      </w:r>
    </w:p>
    <w:sectPr w:rsidR="000B53B9" w:rsidRPr="00CD1590" w:rsidSect="009C6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876" w:rsidRDefault="00887876" w:rsidP="00CD1590">
      <w:pPr>
        <w:spacing w:after="0" w:line="240" w:lineRule="auto"/>
      </w:pPr>
      <w:r>
        <w:separator/>
      </w:r>
    </w:p>
  </w:endnote>
  <w:endnote w:type="continuationSeparator" w:id="1">
    <w:p w:rsidR="00887876" w:rsidRDefault="00887876" w:rsidP="00CD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876" w:rsidRDefault="00887876" w:rsidP="00CD1590">
      <w:pPr>
        <w:spacing w:after="0" w:line="240" w:lineRule="auto"/>
      </w:pPr>
      <w:r>
        <w:separator/>
      </w:r>
    </w:p>
  </w:footnote>
  <w:footnote w:type="continuationSeparator" w:id="1">
    <w:p w:rsidR="00887876" w:rsidRDefault="00887876" w:rsidP="00CD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3F5F"/>
    <w:rsid w:val="000B53B9"/>
    <w:rsid w:val="00264950"/>
    <w:rsid w:val="002D3F5F"/>
    <w:rsid w:val="004A4037"/>
    <w:rsid w:val="004B51A5"/>
    <w:rsid w:val="00887876"/>
    <w:rsid w:val="0090353E"/>
    <w:rsid w:val="00984B30"/>
    <w:rsid w:val="009C6C13"/>
    <w:rsid w:val="00CD1590"/>
    <w:rsid w:val="00ED7AF9"/>
    <w:rsid w:val="00F94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59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D1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1590"/>
  </w:style>
  <w:style w:type="paragraph" w:styleId="a7">
    <w:name w:val="footer"/>
    <w:basedOn w:val="a"/>
    <w:link w:val="a8"/>
    <w:uiPriority w:val="99"/>
    <w:semiHidden/>
    <w:unhideWhenUsed/>
    <w:rsid w:val="00CD1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15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BB1AAD65901E70FE5B97124D81F7400ED76E849E8B7C0BD5AA3729E7B29B0986D06DB6BECD18705CA193A1C8RBxD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947</Words>
  <Characters>5403</Characters>
  <Application>Microsoft Office Word</Application>
  <DocSecurity>0</DocSecurity>
  <Lines>45</Lines>
  <Paragraphs>12</Paragraphs>
  <ScaleCrop>false</ScaleCrop>
  <Company>Прокуратура РФ</Company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Совет депутатов</cp:lastModifiedBy>
  <cp:revision>7</cp:revision>
  <cp:lastPrinted>2021-06-28T09:37:00Z</cp:lastPrinted>
  <dcterms:created xsi:type="dcterms:W3CDTF">2021-03-24T04:17:00Z</dcterms:created>
  <dcterms:modified xsi:type="dcterms:W3CDTF">2021-06-28T09:37:00Z</dcterms:modified>
</cp:coreProperties>
</file>