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           </w:t>
      </w:r>
      <w:r w:rsidR="0003341F">
        <w:rPr>
          <w:bCs/>
        </w:rPr>
        <w:t xml:space="preserve">   </w:t>
      </w:r>
      <w:r w:rsidR="004E7879">
        <w:rPr>
          <w:bCs/>
        </w:rPr>
        <w:t>29.02.</w:t>
      </w:r>
      <w:r>
        <w:rPr>
          <w:bCs/>
        </w:rPr>
        <w:t>20</w:t>
      </w:r>
      <w:r w:rsidR="00102040">
        <w:rPr>
          <w:bCs/>
        </w:rPr>
        <w:t>2</w:t>
      </w:r>
      <w:r w:rsidR="00A43401">
        <w:rPr>
          <w:bCs/>
        </w:rPr>
        <w:t>4</w:t>
      </w:r>
      <w:r w:rsidRPr="00574B07">
        <w:rPr>
          <w:bCs/>
        </w:rPr>
        <w:tab/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</w:t>
      </w:r>
      <w:r w:rsidR="004E7879">
        <w:rPr>
          <w:bCs/>
        </w:rPr>
        <w:t xml:space="preserve">   </w:t>
      </w:r>
      <w:r>
        <w:rPr>
          <w:bCs/>
        </w:rPr>
        <w:t xml:space="preserve">  </w:t>
      </w:r>
      <w:r w:rsidRPr="00574B07">
        <w:rPr>
          <w:bCs/>
        </w:rPr>
        <w:t xml:space="preserve">№ </w:t>
      </w:r>
      <w:r w:rsidR="004E7879">
        <w:rPr>
          <w:bCs/>
        </w:rPr>
        <w:t>38-П</w:t>
      </w:r>
    </w:p>
    <w:p w:rsidR="00F03515" w:rsidRPr="00574B07" w:rsidRDefault="00F03515" w:rsidP="00F03515"/>
    <w:p w:rsidR="00F03515" w:rsidRPr="00574B07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6D53D4">
        <w:t>(</w:t>
      </w:r>
      <w:r w:rsidR="00210BF6" w:rsidRPr="006D53D4">
        <w:t xml:space="preserve">в ред. от </w:t>
      </w:r>
      <w:r w:rsidR="006D53D4" w:rsidRPr="006D53D4">
        <w:t>21</w:t>
      </w:r>
      <w:r w:rsidR="001C41A8" w:rsidRPr="006D53D4">
        <w:t>.</w:t>
      </w:r>
      <w:r w:rsidR="006D53D4" w:rsidRPr="006D53D4">
        <w:t>11</w:t>
      </w:r>
      <w:r w:rsidR="001C41A8" w:rsidRPr="006D53D4">
        <w:t>.2023</w:t>
      </w:r>
      <w:r w:rsidR="008F35F3" w:rsidRPr="006D53D4">
        <w:t xml:space="preserve"> г</w:t>
      </w:r>
      <w:r w:rsidR="00210BF6" w:rsidRPr="006D53D4">
        <w:t xml:space="preserve"> № </w:t>
      </w:r>
      <w:r w:rsidR="006D53D4" w:rsidRPr="006D53D4">
        <w:t>192</w:t>
      </w:r>
      <w:r w:rsidR="008F35F3" w:rsidRPr="006D53D4">
        <w:t>-</w:t>
      </w:r>
      <w:r w:rsidR="00210BF6" w:rsidRPr="006D53D4">
        <w:t>П</w:t>
      </w:r>
      <w:r w:rsidRPr="006D53D4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6D53D4">
        <w:t>(</w:t>
      </w:r>
      <w:r w:rsidR="004229E8" w:rsidRPr="006D53D4">
        <w:t xml:space="preserve">в ред. от </w:t>
      </w:r>
      <w:r w:rsidR="006D53D4" w:rsidRPr="006D53D4">
        <w:t>21.11</w:t>
      </w:r>
      <w:r w:rsidR="001C41A8" w:rsidRPr="006D53D4">
        <w:t>.2023</w:t>
      </w:r>
      <w:r w:rsidR="008F35F3" w:rsidRPr="006D53D4">
        <w:t xml:space="preserve"> г</w:t>
      </w:r>
      <w:r w:rsidR="004229E8" w:rsidRPr="006D53D4">
        <w:t xml:space="preserve"> № </w:t>
      </w:r>
      <w:r w:rsidR="006D53D4" w:rsidRPr="006D53D4">
        <w:t>192</w:t>
      </w:r>
      <w:r w:rsidR="004229E8" w:rsidRPr="006D53D4">
        <w:t>-П</w:t>
      </w:r>
      <w:r w:rsidRPr="006D53D4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6C140D" w:rsidRPr="006C140D">
        <w:t>01.01.2024</w:t>
      </w:r>
      <w:r w:rsidR="008F35F3" w:rsidRPr="006C140D">
        <w:t xml:space="preserve"> г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E173DB">
        <w:t>Я.О</w:t>
      </w:r>
      <w:r w:rsidR="00A84AF0">
        <w:t xml:space="preserve"> 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</w:t>
      </w:r>
      <w:r w:rsidR="004E7879">
        <w:t>29.02.2024</w:t>
      </w:r>
      <w:r w:rsidR="008F35F3">
        <w:t xml:space="preserve">г </w:t>
      </w:r>
      <w:r w:rsidRPr="00E231AB">
        <w:t xml:space="preserve">№ </w:t>
      </w:r>
      <w:r w:rsidR="004E7879">
        <w:t>38-П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2030год-до 3,0 ед.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2030год-до 20,0%.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2030год-до 42,0%.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C4ACB">
              <w:t xml:space="preserve">- 2030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  <w:r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- 2030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- 2030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Общий объем финансирования программы в 2014-202</w:t>
            </w:r>
            <w:r w:rsidR="00DC4ACB" w:rsidRPr="001513DF">
              <w:t>6</w:t>
            </w:r>
            <w:r w:rsidRPr="001513DF">
              <w:t xml:space="preserve"> годах за счет всех источников финансирования составит </w:t>
            </w:r>
            <w:r w:rsidR="00B02E5B" w:rsidRPr="001513DF">
              <w:t>945376,20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616076,3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661124" w:rsidRPr="001513DF">
              <w:rPr>
                <w:rFonts w:ascii="Times New Roman" w:hAnsi="Times New Roman" w:cs="Times New Roman"/>
                <w:sz w:val="24"/>
                <w:szCs w:val="24"/>
              </w:rPr>
              <w:t>58312,6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210170,10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61124" w:rsidRPr="001513DF">
              <w:rPr>
                <w:rFonts w:ascii="Times New Roman" w:hAnsi="Times New Roman" w:cs="Times New Roman"/>
                <w:sz w:val="24"/>
                <w:szCs w:val="24"/>
              </w:rPr>
              <w:t>37634,60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27991,8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23612,85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23612,85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Pr="001513DF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29384C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</w:t>
      </w:r>
      <w:r w:rsidRPr="00CC6344">
        <w:lastRenderedPageBreak/>
        <w:t>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0906E9">
        <w:rPr>
          <w:rFonts w:ascii="Times New Roman" w:hAnsi="Times New Roman"/>
        </w:rP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2014 год – 48031,9 тыс. рублей;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906E9">
        <w:rPr>
          <w:rFonts w:ascii="Times New Roman" w:hAnsi="Times New Roman"/>
          <w:sz w:val="24"/>
          <w:szCs w:val="24"/>
        </w:rPr>
        <w:t xml:space="preserve"> </w:t>
      </w:r>
      <w:r w:rsidR="00C82129" w:rsidRPr="000906E9">
        <w:rPr>
          <w:rFonts w:ascii="Times New Roman" w:hAnsi="Times New Roman"/>
          <w:sz w:val="24"/>
          <w:szCs w:val="24"/>
        </w:rPr>
        <w:t>2022</w:t>
      </w:r>
      <w:r w:rsidR="00081DA0" w:rsidRPr="000906E9">
        <w:rPr>
          <w:rFonts w:ascii="Times New Roman" w:hAnsi="Times New Roman"/>
          <w:sz w:val="24"/>
          <w:szCs w:val="24"/>
        </w:rPr>
        <w:t xml:space="preserve"> год -</w:t>
      </w:r>
      <w:r w:rsidR="004D2B1A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F515F6">
        <w:rPr>
          <w:rFonts w:ascii="Times New Roman" w:hAnsi="Times New Roman"/>
          <w:sz w:val="24"/>
          <w:szCs w:val="24"/>
        </w:rPr>
        <w:t>55</w:t>
      </w:r>
      <w:r w:rsidR="00A80412">
        <w:rPr>
          <w:rFonts w:ascii="Times New Roman" w:hAnsi="Times New Roman"/>
          <w:sz w:val="24"/>
          <w:szCs w:val="24"/>
        </w:rPr>
        <w:t xml:space="preserve">948,2 </w:t>
      </w:r>
      <w:r w:rsidR="00081DA0" w:rsidRPr="000906E9">
        <w:rPr>
          <w:rFonts w:ascii="Times New Roman" w:hAnsi="Times New Roman"/>
          <w:sz w:val="24"/>
          <w:szCs w:val="24"/>
        </w:rPr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33803,1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Pr="000906E9">
        <w:rPr>
          <w:rFonts w:ascii="Times New Roman" w:hAnsi="Times New Roman"/>
          <w:sz w:val="24"/>
          <w:szCs w:val="24"/>
        </w:rPr>
        <w:t xml:space="preserve">2024 год -  </w:t>
      </w:r>
      <w:r w:rsidR="00B02E5B">
        <w:rPr>
          <w:rFonts w:ascii="Times New Roman" w:hAnsi="Times New Roman"/>
          <w:sz w:val="24"/>
          <w:szCs w:val="24"/>
        </w:rPr>
        <w:t>7389,0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</w:t>
      </w:r>
      <w:r w:rsidR="00B02E5B">
        <w:t xml:space="preserve"> </w:t>
      </w:r>
      <w:r w:rsidR="00911C4A">
        <w:t xml:space="preserve">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 0,0 тыс. рублей.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2017 год – 0,0 тыс. рублей;</w:t>
      </w:r>
      <w:r w:rsidR="00727F77" w:rsidRPr="001513DF">
        <w:tab/>
        <w:t xml:space="preserve">                            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 2026 год - 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</w:t>
      </w:r>
      <w:r w:rsidR="00784426">
        <w:rPr>
          <w:sz w:val="24"/>
          <w:szCs w:val="24"/>
          <w:lang w:val="ru-RU"/>
        </w:rPr>
        <w:t xml:space="preserve">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B02E5B" w:rsidRPr="004C6563">
        <w:t>- 20</w:t>
      </w:r>
      <w:r w:rsidR="00B02E5B">
        <w:t>30</w:t>
      </w:r>
      <w:r w:rsidR="00B02E5B" w:rsidRPr="004C6563">
        <w:t xml:space="preserve"> год – 35,0 кг у.т/тыс. рублей</w:t>
      </w:r>
      <w:r w:rsidR="00B02E5B">
        <w:t>.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903,4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2014 год — 8601,4 тыс. рублей;                       </w:t>
      </w:r>
      <w:r w:rsidRPr="00EA7566">
        <w:t xml:space="preserve">2020 год — </w:t>
      </w:r>
      <w:r>
        <w:t>8505,2</w:t>
      </w:r>
      <w:r w:rsidRPr="00EA7566">
        <w:t xml:space="preserve"> тыс. рублей;</w:t>
      </w:r>
      <w:r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913C22" w:rsidRPr="001513DF">
        <w:t>12307,64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913C22" w:rsidRPr="001513DF">
        <w:t>15317,69 тыс. рублей;</w:t>
      </w:r>
    </w:p>
    <w:p w:rsidR="00F03515" w:rsidRPr="001513DF" w:rsidRDefault="00913C22" w:rsidP="00F03515">
      <w:pPr>
        <w:pStyle w:val="af0"/>
        <w:overflowPunct w:val="0"/>
        <w:jc w:val="both"/>
      </w:pPr>
      <w:r w:rsidRPr="001513DF">
        <w:lastRenderedPageBreak/>
        <w:t xml:space="preserve">    2026 год – 15317,69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BF462D">
        <w:t>8295,16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BF462D">
        <w:t>8295,16</w:t>
      </w:r>
      <w:r w:rsidR="00F50756">
        <w:t xml:space="preserve"> </w:t>
      </w:r>
      <w:r w:rsidR="00BF462D">
        <w:t>тыс. рублей;</w:t>
      </w:r>
    </w:p>
    <w:p w:rsidR="00BF462D" w:rsidRPr="001513DF" w:rsidRDefault="00BF462D" w:rsidP="004C6563">
      <w:pPr>
        <w:pStyle w:val="af0"/>
        <w:tabs>
          <w:tab w:val="left" w:pos="804"/>
        </w:tabs>
        <w:rPr>
          <w:b/>
        </w:rPr>
      </w:pPr>
      <w:r w:rsidRPr="001513DF">
        <w:t xml:space="preserve">            2026 год – 8295,16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lastRenderedPageBreak/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CB2E63" w:rsidRPr="00224C6F">
        <w:t>348610,3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BF462D">
        <w:t>37077,5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>2025 год –  37077,5 тыс. рублей;</w:t>
      </w:r>
    </w:p>
    <w:p w:rsidR="00BF462D" w:rsidRPr="001513DF" w:rsidRDefault="00BF462D" w:rsidP="004C6563">
      <w:pPr>
        <w:pStyle w:val="af0"/>
        <w:tabs>
          <w:tab w:val="left" w:pos="804"/>
        </w:tabs>
      </w:pPr>
      <w:r w:rsidRPr="001513DF">
        <w:t xml:space="preserve">            2026 год –  37077,5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992"/>
        <w:gridCol w:w="1418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568"/>
        <w:gridCol w:w="709"/>
        <w:gridCol w:w="709"/>
        <w:gridCol w:w="709"/>
        <w:gridCol w:w="993"/>
      </w:tblGrid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0B3A1E" w:rsidP="000B3A1E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B02E5B" w:rsidRPr="00675A9C">
              <w:rPr>
                <w:color w:val="000000"/>
              </w:rPr>
              <w:t>Приложение №1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к муниципальной программе Ачинского </w:t>
            </w:r>
            <w:r w:rsidR="000B3A1E"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 xml:space="preserve">йона   </w:t>
            </w:r>
          </w:p>
          <w:p w:rsidR="00B02E5B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B02E5B" w:rsidRPr="00675A9C" w:rsidRDefault="00B02E5B" w:rsidP="000B3A1E">
            <w:pPr>
              <w:pStyle w:val="af5"/>
              <w:jc w:val="right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746E73" w:rsidRDefault="00B02E5B" w:rsidP="000B3A1E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5B" w:rsidRDefault="00B02E5B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B02E5B" w:rsidTr="00CB2E63">
        <w:trPr>
          <w:trHeight w:val="6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B02E5B" w:rsidTr="00CB2E63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B02E5B" w:rsidRPr="00D316CA" w:rsidTr="00B02E5B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02E5B" w:rsidTr="00B02E5B">
        <w:trPr>
          <w:trHeight w:val="4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B02E5B" w:rsidRPr="00AA1D3D" w:rsidRDefault="00B02E5B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B02E5B" w:rsidTr="00B02E5B">
        <w:trPr>
          <w:trHeight w:val="27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B02E5B" w:rsidTr="00B02E5B">
        <w:trPr>
          <w:trHeight w:val="26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B02E5B" w:rsidTr="00B02E5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B02E5B" w:rsidTr="00B02E5B">
        <w:trPr>
          <w:trHeight w:val="2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B02E5B" w:rsidTr="00B02E5B">
        <w:trPr>
          <w:cantSplit/>
          <w:trHeight w:val="8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B02E5B" w:rsidTr="00B02E5B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B02E5B" w:rsidTr="00B02E5B">
        <w:trPr>
          <w:trHeight w:val="3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B02E5B" w:rsidTr="00B02E5B">
        <w:trPr>
          <w:trHeight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6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75"/>
        </w:trPr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B02E5B" w:rsidTr="00B02E5B">
        <w:trPr>
          <w:trHeight w:val="3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E5B" w:rsidRPr="007F05A4" w:rsidRDefault="00B02E5B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B02E5B" w:rsidTr="00B02E5B">
        <w:trPr>
          <w:cantSplit/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B02E5B" w:rsidTr="00B02E5B">
        <w:trPr>
          <w:cantSplit/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B02E5B" w:rsidTr="00B02E5B">
        <w:trPr>
          <w:cantSplit/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B02E5B" w:rsidTr="00B02E5B">
        <w:trPr>
          <w:cantSplit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B02E5B" w:rsidTr="00B02E5B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Default="00B02E5B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B02E5B" w:rsidTr="00B02E5B">
        <w:trPr>
          <w:cantSplit/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>2020год-до 63%;           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ед.;       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F03515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   </w:t>
            </w:r>
            <w:r w:rsidR="0073188D"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D55C57" w:rsidRPr="00224C6F">
              <w:t>375652,7</w:t>
            </w:r>
          </w:p>
          <w:p w:rsidR="00F03515" w:rsidRPr="00224C6F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тыс. руб.: </w:t>
            </w:r>
            <w:r w:rsidR="00F03515" w:rsidRPr="00224C6F">
              <w:t xml:space="preserve">в том числе: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>краевой бюджет –</w:t>
            </w:r>
            <w:r w:rsidR="009B5E43" w:rsidRPr="00224C6F">
              <w:t xml:space="preserve">   254921,5</w:t>
            </w:r>
            <w:r w:rsidR="004747F2" w:rsidRPr="00224C6F">
              <w:t xml:space="preserve"> </w:t>
            </w:r>
            <w:r w:rsidRPr="00224C6F">
              <w:t>тыс.</w:t>
            </w:r>
            <w:r w:rsidR="009A4795" w:rsidRPr="00224C6F">
              <w:t xml:space="preserve"> </w:t>
            </w:r>
            <w:r w:rsidRPr="00224C6F">
              <w:t xml:space="preserve">руб.;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местный бюджет –  </w:t>
            </w:r>
            <w:r w:rsidR="00D55C57" w:rsidRPr="00224C6F">
              <w:t>120731,2</w:t>
            </w:r>
            <w:r w:rsidR="004747F2" w:rsidRPr="00224C6F">
              <w:t xml:space="preserve"> </w:t>
            </w:r>
            <w:r w:rsidRPr="00224C6F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D55C57" w:rsidRPr="00224C6F">
              <w:t>33803,1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lastRenderedPageBreak/>
              <w:t>12196,9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0B3A1E">
              <w:t>7389,0</w:t>
            </w:r>
            <w:r w:rsidRPr="008E4766">
              <w:t xml:space="preserve"> тыс. руб. (краевой бюджет -0,0 тыс. руб.; местный бюджет –</w:t>
            </w:r>
            <w:r w:rsidR="000B3A1E">
              <w:t>7389,0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Pr="008E4766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7A47CF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9D124C">
        <w:rPr>
          <w:sz w:val="24"/>
          <w:szCs w:val="24"/>
          <w:lang w:val="ru-RU"/>
        </w:rPr>
        <w:t>ТеплоВодоРесурс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8E4766" w:rsidRDefault="00AC5E71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ООО</w:t>
      </w:r>
      <w:r w:rsidR="00F03515" w:rsidRPr="008E4766">
        <w:rPr>
          <w:sz w:val="24"/>
          <w:szCs w:val="24"/>
          <w:lang w:val="ru-RU"/>
        </w:rPr>
        <w:t xml:space="preserve"> «</w:t>
      </w:r>
      <w:r w:rsidR="006D02F4">
        <w:rPr>
          <w:sz w:val="24"/>
          <w:szCs w:val="24"/>
          <w:lang w:val="ru-RU"/>
        </w:rPr>
        <w:t>Региональная Энергос</w:t>
      </w:r>
      <w:r w:rsidR="00DF0ED8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 xml:space="preserve"> Организация</w:t>
      </w:r>
      <w:r w:rsidR="00F03515" w:rsidRPr="008E4766">
        <w:rPr>
          <w:sz w:val="24"/>
          <w:szCs w:val="24"/>
          <w:lang w:val="ru-RU"/>
        </w:rPr>
        <w:t>»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lastRenderedPageBreak/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>«Реформирование и 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790" w:type="pct"/>
        <w:tblLayout w:type="fixed"/>
        <w:tblLook w:val="04A0" w:firstRow="1" w:lastRow="0" w:firstColumn="1" w:lastColumn="0" w:noHBand="0" w:noVBand="1"/>
      </w:tblPr>
      <w:tblGrid>
        <w:gridCol w:w="459"/>
        <w:gridCol w:w="4187"/>
        <w:gridCol w:w="293"/>
        <w:gridCol w:w="430"/>
        <w:gridCol w:w="424"/>
        <w:gridCol w:w="430"/>
        <w:gridCol w:w="424"/>
        <w:gridCol w:w="427"/>
        <w:gridCol w:w="992"/>
        <w:gridCol w:w="992"/>
        <w:gridCol w:w="1115"/>
        <w:gridCol w:w="1011"/>
        <w:gridCol w:w="992"/>
        <w:gridCol w:w="992"/>
        <w:gridCol w:w="851"/>
        <w:gridCol w:w="851"/>
        <w:gridCol w:w="832"/>
      </w:tblGrid>
      <w:tr w:rsidR="00FD3C57" w:rsidRPr="00FD3C57" w:rsidTr="00FD3C57">
        <w:trPr>
          <w:cantSplit/>
          <w:trHeight w:val="236"/>
        </w:trPr>
        <w:tc>
          <w:tcPr>
            <w:tcW w:w="146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33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137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43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82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FD3C57">
        <w:trPr>
          <w:cantSplit/>
          <w:trHeight w:val="652"/>
        </w:trPr>
        <w:tc>
          <w:tcPr>
            <w:tcW w:w="14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7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3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2023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276111" w:rsidRPr="00FD3C57" w:rsidRDefault="009E0CEE" w:rsidP="00FD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63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5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FD3C57">
        <w:trPr>
          <w:cantSplit/>
          <w:trHeight w:val="397"/>
        </w:trPr>
        <w:tc>
          <w:tcPr>
            <w:tcW w:w="14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5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FD3C57">
        <w:trPr>
          <w:cantSplit/>
          <w:trHeight w:val="118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13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FD3C57">
        <w:trPr>
          <w:cantSplit/>
          <w:trHeight w:val="403"/>
        </w:trPr>
        <w:tc>
          <w:tcPr>
            <w:tcW w:w="1479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3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410"/>
        </w:trPr>
        <w:tc>
          <w:tcPr>
            <w:tcW w:w="1479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3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840"/>
        </w:trPr>
        <w:tc>
          <w:tcPr>
            <w:tcW w:w="1479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3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347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228,45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267,65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4906,19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800,97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887"/>
        </w:trPr>
        <w:tc>
          <w:tcPr>
            <w:tcW w:w="146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33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8820,5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842"/>
        </w:trPr>
        <w:tc>
          <w:tcPr>
            <w:tcW w:w="146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107,2</w:t>
            </w: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836"/>
        </w:trPr>
        <w:tc>
          <w:tcPr>
            <w:tcW w:w="146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2377,1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976"/>
        </w:trPr>
        <w:tc>
          <w:tcPr>
            <w:tcW w:w="146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28,9</w:t>
            </w: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528,60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184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85,0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920"/>
        </w:trPr>
        <w:tc>
          <w:tcPr>
            <w:tcW w:w="146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33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7746,7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990"/>
        </w:trPr>
        <w:tc>
          <w:tcPr>
            <w:tcW w:w="146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94,1</w:t>
            </w: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976"/>
        </w:trPr>
        <w:tc>
          <w:tcPr>
            <w:tcW w:w="146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33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2661,9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989"/>
        </w:trPr>
        <w:tc>
          <w:tcPr>
            <w:tcW w:w="146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32,4</w:t>
            </w:r>
          </w:p>
        </w:tc>
        <w:tc>
          <w:tcPr>
            <w:tcW w:w="355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64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411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206,87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402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240,07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91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211,0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1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89,5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89,5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D55C57" w:rsidP="00D22EE6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1214,91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89,50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175,80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195,40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543,05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33" w:type="pct"/>
            <w:vAlign w:val="center"/>
          </w:tcPr>
          <w:p w:rsidR="00276111" w:rsidRPr="009864DF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296,21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33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212,61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33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344,45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131,46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33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250,0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194,96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33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253,0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276111" w:rsidRDefault="00276111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79,166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1385"/>
        </w:trPr>
        <w:tc>
          <w:tcPr>
            <w:tcW w:w="146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33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  <w:r w:rsidRPr="00276111">
              <w:rPr>
                <w:color w:val="FF0000"/>
                <w:sz w:val="14"/>
                <w:szCs w:val="14"/>
              </w:rPr>
              <w:t>300,0</w:t>
            </w: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7389,0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291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3" w:type="pct"/>
            <w:textDirection w:val="btLr"/>
            <w:vAlign w:val="bottom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6" w:type="pct"/>
            <w:vAlign w:val="center"/>
          </w:tcPr>
          <w:p w:rsidR="00276111" w:rsidRPr="00D55C57" w:rsidRDefault="00D55C57" w:rsidP="00D22EE6">
            <w:pPr>
              <w:jc w:val="center"/>
              <w:rPr>
                <w:b/>
                <w:color w:val="FF0000"/>
                <w:sz w:val="14"/>
                <w:szCs w:val="14"/>
                <w:highlight w:val="yellow"/>
              </w:rPr>
            </w:pPr>
            <w:r w:rsidRPr="00D55C57">
              <w:rPr>
                <w:b/>
                <w:color w:val="FF0000"/>
                <w:sz w:val="14"/>
                <w:szCs w:val="14"/>
              </w:rPr>
              <w:t>12196,9</w:t>
            </w:r>
          </w:p>
        </w:tc>
        <w:tc>
          <w:tcPr>
            <w:tcW w:w="355" w:type="pct"/>
            <w:vAlign w:val="center"/>
          </w:tcPr>
          <w:p w:rsidR="00276111" w:rsidRPr="00FD3C57" w:rsidRDefault="000B3A1E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22" w:type="pct"/>
            <w:vAlign w:val="center"/>
          </w:tcPr>
          <w:p w:rsidR="00276111" w:rsidRPr="00FD3C57" w:rsidRDefault="000B3A1E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0B3A1E">
              <w:rPr>
                <w:b/>
                <w:sz w:val="14"/>
                <w:szCs w:val="14"/>
              </w:rPr>
              <w:t>7389,0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280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3" w:type="pct"/>
            <w:textDirection w:val="btLr"/>
            <w:vAlign w:val="bottom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D55C57" w:rsidRDefault="00276111" w:rsidP="00FD3C5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5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FD3C57">
        <w:trPr>
          <w:cantSplit/>
          <w:trHeight w:val="255"/>
        </w:trPr>
        <w:tc>
          <w:tcPr>
            <w:tcW w:w="14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3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7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6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" w:type="pct"/>
            <w:vAlign w:val="center"/>
          </w:tcPr>
          <w:p w:rsidR="00276111" w:rsidRPr="00FD3C57" w:rsidRDefault="00276111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6" w:type="pct"/>
            <w:vAlign w:val="center"/>
          </w:tcPr>
          <w:p w:rsidR="00276111" w:rsidRPr="00D55C57" w:rsidRDefault="00D55C57" w:rsidP="00D22EE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55C57">
              <w:rPr>
                <w:b/>
                <w:color w:val="FF0000"/>
                <w:sz w:val="14"/>
                <w:szCs w:val="14"/>
              </w:rPr>
              <w:t>12196,9</w:t>
            </w:r>
          </w:p>
        </w:tc>
        <w:tc>
          <w:tcPr>
            <w:tcW w:w="355" w:type="pct"/>
            <w:vAlign w:val="center"/>
          </w:tcPr>
          <w:p w:rsidR="00276111" w:rsidRPr="00FD3C57" w:rsidRDefault="000B3A1E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22" w:type="pct"/>
            <w:vAlign w:val="center"/>
          </w:tcPr>
          <w:p w:rsidR="00276111" w:rsidRPr="00FD3C57" w:rsidRDefault="009E0CEE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7389,0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6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71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5" w:type="pct"/>
            <w:vAlign w:val="center"/>
          </w:tcPr>
          <w:p w:rsidR="00276111" w:rsidRPr="00FD3C57" w:rsidRDefault="00276111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FD3C57" w:rsidRDefault="00FD3C57" w:rsidP="00BF3AC5">
      <w:pPr>
        <w:ind w:left="-284"/>
        <w:rPr>
          <w:sz w:val="22"/>
          <w:szCs w:val="22"/>
        </w:rPr>
      </w:pPr>
    </w:p>
    <w:p w:rsidR="00BF3AC5" w:rsidRPr="009E0CEE" w:rsidRDefault="00BF3AC5" w:rsidP="009E0CEE"/>
    <w:p w:rsidR="00BF3AC5" w:rsidRDefault="00BF3AC5" w:rsidP="003D26C7">
      <w:pPr>
        <w:ind w:left="-284"/>
        <w:rPr>
          <w:sz w:val="22"/>
          <w:szCs w:val="22"/>
        </w:rPr>
      </w:pP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F03515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2F4660"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>;            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C176C0">
              <w:rPr>
                <w:color w:val="FF0000"/>
              </w:rPr>
              <w:t>2026 год – до 8</w:t>
            </w:r>
            <w:r w:rsidR="00C176C0">
              <w:rPr>
                <w:color w:val="FF0000"/>
              </w:rPr>
              <w:t>7</w:t>
            </w:r>
            <w:r w:rsidR="009E0CEE" w:rsidRPr="00C176C0">
              <w:rPr>
                <w:color w:val="FF0000"/>
              </w:rPr>
              <w:t>%;</w:t>
            </w:r>
          </w:p>
          <w:p w:rsidR="00F03515" w:rsidRPr="00A7006F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2F4660"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C17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Pr="00A7006F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 – 0,0 тыс. 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lastRenderedPageBreak/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F03515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F03515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C176C0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F03515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F03515" w:rsidP="00C176C0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7A4E84">
        <w:rPr>
          <w:sz w:val="24"/>
          <w:szCs w:val="24"/>
          <w:lang w:val="ru-RU"/>
        </w:rPr>
        <w:t>ТеплоВодоРесурс</w:t>
      </w:r>
      <w:r w:rsidR="00F03515" w:rsidRPr="004F6421">
        <w:rPr>
          <w:sz w:val="24"/>
          <w:szCs w:val="24"/>
          <w:lang w:val="ru-RU"/>
        </w:rPr>
        <w:t>»</w:t>
      </w:r>
    </w:p>
    <w:p w:rsidR="00962DCC" w:rsidRPr="004F6421" w:rsidRDefault="00962DCC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 «</w:t>
      </w:r>
      <w:r w:rsidR="006D02F4">
        <w:rPr>
          <w:sz w:val="24"/>
          <w:szCs w:val="24"/>
          <w:lang w:val="ru-RU"/>
        </w:rPr>
        <w:t>Региональная Энергос</w:t>
      </w:r>
      <w:r w:rsidR="007A4E84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>я Организация</w:t>
      </w:r>
      <w:r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3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F03515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;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903,4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lastRenderedPageBreak/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lastRenderedPageBreak/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D9569D" w:rsidRPr="008C43FF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5D50F6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F03515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lastRenderedPageBreak/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lastRenderedPageBreak/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801F3F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B3A1E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9220DF" w:rsidRPr="00224C6F">
              <w:t>133825,7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2014 год – 8601,4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D9569D">
              <w:rPr>
                <w:rFonts w:ascii="Times New Roman" w:hAnsi="Times New Roman" w:cs="Times New Roman"/>
                <w:sz w:val="24"/>
              </w:rPr>
              <w:t>12307,64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D9569D">
              <w:rPr>
                <w:rFonts w:ascii="Times New Roman" w:hAnsi="Times New Roman" w:cs="Times New Roman"/>
                <w:sz w:val="24"/>
              </w:rPr>
              <w:t>15317,69 тыс. рублей;</w:t>
            </w:r>
          </w:p>
          <w:p w:rsidR="00D9569D" w:rsidRPr="00B67548" w:rsidRDefault="00D9569D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15317,69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9220DF" w:rsidRPr="00C15EBF">
        <w:t>133825,7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583DB8" w:rsidRPr="00C15EBF">
        <w:rPr>
          <w:rFonts w:ascii="Times New Roman" w:hAnsi="Times New Roman" w:cs="Times New Roman"/>
          <w:sz w:val="24"/>
          <w:szCs w:val="24"/>
        </w:rPr>
        <w:t>1940,4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8601,4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D9569D">
        <w:t>12307,64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D9569D">
        <w:t>15317,69</w:t>
      </w:r>
      <w:r w:rsidR="00B922A2" w:rsidRPr="002347E9">
        <w:t xml:space="preserve"> </w:t>
      </w:r>
      <w:r w:rsidR="00D9569D">
        <w:t>тыс. рублей;</w:t>
      </w:r>
    </w:p>
    <w:p w:rsidR="00D9569D" w:rsidRPr="00EA7566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>
        <w:t>15317,69</w:t>
      </w:r>
      <w:r w:rsidRPr="002347E9">
        <w:t xml:space="preserve"> 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5B161F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161F" w:rsidRPr="00922AC7" w:rsidRDefault="005B161F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12501,2</w:t>
            </w:r>
          </w:p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5B161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10467,69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13467,69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13467,69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B161F" w:rsidRPr="004B068C" w:rsidRDefault="005B161F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5B161F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1749,8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1833,95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24686" w:rsidRDefault="005B161F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B24686" w:rsidRDefault="005B161F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B24686" w:rsidRDefault="005B161F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14260,2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12307,64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15317,69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15317,69</w:t>
            </w:r>
          </w:p>
        </w:tc>
        <w:tc>
          <w:tcPr>
            <w:tcW w:w="1134" w:type="dxa"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1513DF">
              <w:t>54575,28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0A1E30">
              <w:t>1</w:t>
            </w:r>
            <w:r w:rsidR="002C42EB">
              <w:t>4905,8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1513DF">
              <w:t>39669,48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D22EE6">
              <w:t>8295,16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D22EE6">
              <w:t>8295,16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D22EE6">
              <w:t>8295,16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D22EE6">
              <w:t>8295,16</w:t>
            </w:r>
            <w:r w:rsidR="00F704E1">
              <w:t xml:space="preserve"> </w:t>
            </w:r>
            <w:r>
              <w:t>тыс.р.)</w:t>
            </w:r>
          </w:p>
          <w:p w:rsidR="00D22EE6" w:rsidRPr="00671ADC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>
              <w:t xml:space="preserve"> 8295,16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8295,16 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 xml:space="preserve">населенных </w:t>
      </w:r>
      <w:r>
        <w:rPr>
          <w:rFonts w:ascii="Times New Roman" w:hAnsi="Times New Roman" w:cs="Times New Roman"/>
        </w:rPr>
        <w:lastRenderedPageBreak/>
        <w:t>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lastRenderedPageBreak/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3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D22EE6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Pr="002347E9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Default="00D22EE6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Default="00D22EE6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3873,16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3873,16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3873,16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7E35ED" w:rsidRDefault="00D22EE6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D22EE6" w:rsidRPr="007E35ED" w:rsidRDefault="00D22EE6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7E35ED" w:rsidRDefault="00D22EE6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7E35ED" w:rsidRDefault="00D22EE6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7E35ED" w:rsidRDefault="00D22EE6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7E35ED" w:rsidRDefault="001513DF" w:rsidP="00151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</w:t>
            </w:r>
            <w:r w:rsidR="00D22EE6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992" w:type="dxa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Pr="002347E9" w:rsidRDefault="00D22EE6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8295,16</w:t>
            </w:r>
          </w:p>
        </w:tc>
        <w:tc>
          <w:tcPr>
            <w:tcW w:w="850" w:type="dxa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8295,16</w:t>
            </w:r>
          </w:p>
        </w:tc>
        <w:tc>
          <w:tcPr>
            <w:tcW w:w="850" w:type="dxa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Pr="007E35ED" w:rsidRDefault="00D22EE6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8295,16</w:t>
            </w:r>
          </w:p>
        </w:tc>
        <w:tc>
          <w:tcPr>
            <w:tcW w:w="1276" w:type="dxa"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FC297F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297F" w:rsidRPr="006E262B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</w:t>
            </w:r>
            <w:r w:rsidRPr="006E262B">
              <w:rPr>
                <w:color w:val="000000"/>
              </w:rPr>
              <w:t xml:space="preserve"> Приложение №</w:t>
            </w:r>
            <w:r>
              <w:rPr>
                <w:color w:val="000000"/>
              </w:rPr>
              <w:t>7</w:t>
            </w:r>
          </w:p>
        </w:tc>
      </w:tr>
      <w:tr w:rsidR="00FC297F" w:rsidRPr="003A2757" w:rsidTr="00FC297F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9E3B46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9E3B46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</w:t>
            </w:r>
            <w:r w:rsidR="006D53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</w:t>
            </w:r>
            <w:r w:rsidR="00D22E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D22EE6" w:rsidRPr="000E14B9" w:rsidTr="00D22EE6">
        <w:trPr>
          <w:trHeight w:val="36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1472B2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1472B2" w:rsidRDefault="00584BB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65069,30</w:t>
            </w:r>
          </w:p>
        </w:tc>
        <w:tc>
          <w:tcPr>
            <w:tcW w:w="1417" w:type="dxa"/>
            <w:noWrap/>
          </w:tcPr>
          <w:p w:rsidR="00D22EE6" w:rsidRPr="000E14B9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60690,35</w:t>
            </w:r>
          </w:p>
        </w:tc>
        <w:tc>
          <w:tcPr>
            <w:tcW w:w="1559" w:type="dxa"/>
            <w:noWrap/>
          </w:tcPr>
          <w:p w:rsidR="00D22EE6" w:rsidRPr="00DC4ACB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60690,35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2347E9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584BB8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584BB8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2347E9" w:rsidRDefault="00584BB8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27991,80</w:t>
            </w:r>
          </w:p>
        </w:tc>
        <w:tc>
          <w:tcPr>
            <w:tcW w:w="1417" w:type="dxa"/>
            <w:noWrap/>
          </w:tcPr>
          <w:p w:rsidR="00D22EE6" w:rsidRPr="00B922A2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23612,85</w:t>
            </w:r>
          </w:p>
        </w:tc>
        <w:tc>
          <w:tcPr>
            <w:tcW w:w="1559" w:type="dxa"/>
            <w:noWrap/>
          </w:tcPr>
          <w:p w:rsidR="00D22EE6" w:rsidRPr="00B922A2" w:rsidRDefault="00584BB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23612,85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6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124C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9D124C" w:rsidRDefault="00584BB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65069,30</w:t>
            </w:r>
          </w:p>
        </w:tc>
        <w:tc>
          <w:tcPr>
            <w:tcW w:w="1417" w:type="dxa"/>
            <w:noWrap/>
          </w:tcPr>
          <w:p w:rsidR="00D22EE6" w:rsidRPr="000E14B9" w:rsidRDefault="00584BB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60690,35</w:t>
            </w:r>
          </w:p>
        </w:tc>
        <w:tc>
          <w:tcPr>
            <w:tcW w:w="1559" w:type="dxa"/>
            <w:noWrap/>
          </w:tcPr>
          <w:p w:rsidR="00D22EE6" w:rsidRPr="000E14B9" w:rsidRDefault="00584BB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60690,35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9B624E" w:rsidRDefault="00584BB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584BB8" w:rsidRDefault="00584BB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584BB8" w:rsidRDefault="00584BB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9B624E" w:rsidRDefault="00584BB8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27991,80</w:t>
            </w:r>
          </w:p>
        </w:tc>
        <w:tc>
          <w:tcPr>
            <w:tcW w:w="1417" w:type="dxa"/>
            <w:noWrap/>
          </w:tcPr>
          <w:p w:rsidR="00D22EE6" w:rsidRPr="00B922A2" w:rsidRDefault="00584BB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23612,85</w:t>
            </w:r>
          </w:p>
        </w:tc>
        <w:tc>
          <w:tcPr>
            <w:tcW w:w="1559" w:type="dxa"/>
            <w:noWrap/>
          </w:tcPr>
          <w:p w:rsidR="00D22EE6" w:rsidRPr="00B922A2" w:rsidRDefault="00584BB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23612,85</w:t>
            </w: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Модернизация, реконструкция, капитальный ремонт 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D22EE6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7389,0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12196,9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517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D22EE6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D22EE6">
        <w:trPr>
          <w:trHeight w:val="269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9E3B46">
        <w:trPr>
          <w:trHeight w:val="273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3E3942" w:rsidRDefault="00D22E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D22EE6" w:rsidRPr="003E3942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11934,3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40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515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12307,64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15317,69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15317,69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12307,64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12307,64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</w:tr>
      <w:tr w:rsidR="00D22EE6" w:rsidRPr="000E14B9" w:rsidTr="00D22EE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12307,64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15317,69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807341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D22EE6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8295,16</w:t>
            </w:r>
          </w:p>
        </w:tc>
        <w:tc>
          <w:tcPr>
            <w:tcW w:w="1417" w:type="dxa"/>
            <w:noWrap/>
          </w:tcPr>
          <w:p w:rsidR="00D22EE6" w:rsidRPr="009D0CAF" w:rsidRDefault="00584BB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8295,16</w:t>
            </w:r>
          </w:p>
        </w:tc>
        <w:tc>
          <w:tcPr>
            <w:tcW w:w="1559" w:type="dxa"/>
            <w:noWrap/>
          </w:tcPr>
          <w:p w:rsidR="00D22EE6" w:rsidRPr="009D0CAF" w:rsidRDefault="00584BB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8295,16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D22EE6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8295,16</w:t>
            </w:r>
          </w:p>
        </w:tc>
        <w:tc>
          <w:tcPr>
            <w:tcW w:w="1417" w:type="dxa"/>
            <w:noWrap/>
          </w:tcPr>
          <w:p w:rsidR="00D22EE6" w:rsidRPr="000E14B9" w:rsidRDefault="00584BB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8295,16</w:t>
            </w:r>
          </w:p>
        </w:tc>
        <w:tc>
          <w:tcPr>
            <w:tcW w:w="1559" w:type="dxa"/>
            <w:noWrap/>
          </w:tcPr>
          <w:p w:rsidR="00D22EE6" w:rsidRPr="000E14B9" w:rsidRDefault="00584BB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8295,16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807341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D4183C" w:rsidRDefault="00D22EE6" w:rsidP="00741922">
            <w:pPr>
              <w:jc w:val="center"/>
              <w:rPr>
                <w:sz w:val="20"/>
                <w:szCs w:val="20"/>
                <w:highlight w:val="cyan"/>
              </w:rPr>
            </w:pPr>
            <w:r w:rsidRPr="00584BB8">
              <w:rPr>
                <w:sz w:val="20"/>
                <w:szCs w:val="20"/>
              </w:rPr>
              <w:t>8295,16</w:t>
            </w:r>
          </w:p>
        </w:tc>
        <w:tc>
          <w:tcPr>
            <w:tcW w:w="1417" w:type="dxa"/>
            <w:noWrap/>
          </w:tcPr>
          <w:p w:rsidR="00D22EE6" w:rsidRPr="000E14B9" w:rsidRDefault="00584BB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8295,16</w:t>
            </w:r>
          </w:p>
        </w:tc>
        <w:tc>
          <w:tcPr>
            <w:tcW w:w="1559" w:type="dxa"/>
            <w:noWrap/>
          </w:tcPr>
          <w:p w:rsidR="00D22EE6" w:rsidRPr="000E14B9" w:rsidRDefault="00584BB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8295,16</w:t>
            </w:r>
          </w:p>
        </w:tc>
      </w:tr>
      <w:tr w:rsidR="00D22EE6" w:rsidRPr="000E14B9" w:rsidTr="00D22EE6">
        <w:trPr>
          <w:trHeight w:val="155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3F0FB5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E711AC" w:rsidRDefault="00D22EE6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8" w:type="dxa"/>
            <w:noWrap/>
          </w:tcPr>
          <w:p w:rsidR="00D22EE6" w:rsidRPr="00E711AC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417" w:type="dxa"/>
            <w:noWrap/>
          </w:tcPr>
          <w:p w:rsidR="00D22EE6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559" w:type="dxa"/>
            <w:noWrap/>
          </w:tcPr>
          <w:p w:rsidR="00D22EE6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</w:tr>
      <w:tr w:rsidR="00D22EE6" w:rsidRPr="000E14B9" w:rsidTr="00C23641">
        <w:trPr>
          <w:trHeight w:val="129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Default="00D22EE6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E711AC" w:rsidRDefault="00D22EE6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D22EE6" w:rsidRPr="00E711AC" w:rsidRDefault="00584BB8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3873,16</w:t>
            </w:r>
          </w:p>
        </w:tc>
        <w:tc>
          <w:tcPr>
            <w:tcW w:w="1417" w:type="dxa"/>
            <w:noWrap/>
          </w:tcPr>
          <w:p w:rsidR="00D22EE6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3873,16</w:t>
            </w:r>
          </w:p>
        </w:tc>
        <w:tc>
          <w:tcPr>
            <w:tcW w:w="1559" w:type="dxa"/>
            <w:noWrap/>
          </w:tcPr>
          <w:p w:rsidR="00D22EE6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3873,16</w:t>
            </w:r>
          </w:p>
        </w:tc>
      </w:tr>
      <w:tr w:rsidR="00D22EE6" w:rsidRPr="000E14B9" w:rsidTr="00C23641">
        <w:trPr>
          <w:trHeight w:val="31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C23641">
        <w:trPr>
          <w:trHeight w:val="284"/>
        </w:trPr>
        <w:tc>
          <w:tcPr>
            <w:tcW w:w="1723" w:type="dxa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 w:val="restart"/>
          </w:tcPr>
          <w:p w:rsidR="00D22EE6" w:rsidRDefault="00D22EE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2347E9" w:rsidRDefault="00584BB8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C23641" w:rsidRDefault="00584BB8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C23641" w:rsidRDefault="00584BB8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2347E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D22EE6" w:rsidRPr="000E14B9" w:rsidRDefault="00D22EE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0E14B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D22EE6" w:rsidRPr="000E14B9" w:rsidRDefault="00D22EE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 w:val="restart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D22EE6" w:rsidRPr="009D0CAF" w:rsidRDefault="00D22EE6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C23641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C23641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C23641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C23641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417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  <w:tc>
          <w:tcPr>
            <w:tcW w:w="1559" w:type="dxa"/>
            <w:noWrap/>
          </w:tcPr>
          <w:p w:rsidR="00D22EE6" w:rsidRPr="000E14B9" w:rsidRDefault="00584BB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37077,50</w:t>
            </w: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9E3B46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 w:val="restart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D22EE6" w:rsidRDefault="00D22EE6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финансовое обеспечение (возмещение) затрат ресурсоснабжающих </w:t>
            </w:r>
            <w:r>
              <w:rPr>
                <w:sz w:val="20"/>
                <w:szCs w:val="20"/>
              </w:rPr>
              <w:lastRenderedPageBreak/>
              <w:t>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D22EE6" w:rsidRPr="000E14B9" w:rsidRDefault="00D22EE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A0212D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Pr="00A0212D" w:rsidRDefault="00D22EE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Pr="00A0212D" w:rsidRDefault="00D22EE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Pr="00A0212D" w:rsidRDefault="00D22EE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D22EE6" w:rsidRPr="000E14B9" w:rsidRDefault="00D22EE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Tr="009E3B46">
        <w:tc>
          <w:tcPr>
            <w:tcW w:w="1723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22EE6" w:rsidRDefault="00D22EE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E6" w:rsidRDefault="00D22EE6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1AA4" w:rsidRDefault="00701AA4">
      <w:r>
        <w:separator/>
      </w:r>
    </w:p>
  </w:endnote>
  <w:endnote w:type="continuationSeparator" w:id="0">
    <w:p w:rsidR="00701AA4" w:rsidRDefault="007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C6F" w:rsidRDefault="00224C6F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4C6F" w:rsidRDefault="00224C6F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C6F" w:rsidRDefault="00224C6F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C6F" w:rsidRDefault="00224C6F">
    <w:pPr>
      <w:pStyle w:val="a9"/>
      <w:rPr>
        <w:lang w:val="ru-RU"/>
      </w:rPr>
    </w:pPr>
  </w:p>
  <w:p w:rsidR="00224C6F" w:rsidRDefault="00224C6F">
    <w:pPr>
      <w:pStyle w:val="a9"/>
      <w:rPr>
        <w:lang w:val="ru-RU"/>
      </w:rPr>
    </w:pPr>
  </w:p>
  <w:p w:rsidR="00224C6F" w:rsidRPr="009F6FFC" w:rsidRDefault="00224C6F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1AA4" w:rsidRDefault="00701AA4">
      <w:r>
        <w:separator/>
      </w:r>
    </w:p>
  </w:footnote>
  <w:footnote w:type="continuationSeparator" w:id="0">
    <w:p w:rsidR="00701AA4" w:rsidRDefault="0070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975"/>
    <w:rsid w:val="000906E9"/>
    <w:rsid w:val="0009192F"/>
    <w:rsid w:val="00092769"/>
    <w:rsid w:val="000949A9"/>
    <w:rsid w:val="0009529D"/>
    <w:rsid w:val="000957ED"/>
    <w:rsid w:val="000960F9"/>
    <w:rsid w:val="00096FBD"/>
    <w:rsid w:val="000A1E30"/>
    <w:rsid w:val="000A3B9C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D0E"/>
    <w:rsid w:val="001579A3"/>
    <w:rsid w:val="0016116D"/>
    <w:rsid w:val="00162259"/>
    <w:rsid w:val="00165CC2"/>
    <w:rsid w:val="001702F5"/>
    <w:rsid w:val="00171C3C"/>
    <w:rsid w:val="0017432D"/>
    <w:rsid w:val="00175040"/>
    <w:rsid w:val="00176002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3CA0"/>
    <w:rsid w:val="001F5DBF"/>
    <w:rsid w:val="001F74C4"/>
    <w:rsid w:val="00200386"/>
    <w:rsid w:val="00200FE4"/>
    <w:rsid w:val="00201C26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61B54"/>
    <w:rsid w:val="00262532"/>
    <w:rsid w:val="002627EC"/>
    <w:rsid w:val="0026292C"/>
    <w:rsid w:val="00263701"/>
    <w:rsid w:val="00266B30"/>
    <w:rsid w:val="00272053"/>
    <w:rsid w:val="0027273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9DA"/>
    <w:rsid w:val="002A6EE2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1B10"/>
    <w:rsid w:val="002F376F"/>
    <w:rsid w:val="002F4660"/>
    <w:rsid w:val="002F5531"/>
    <w:rsid w:val="002F5F3B"/>
    <w:rsid w:val="00305611"/>
    <w:rsid w:val="00307988"/>
    <w:rsid w:val="00314E24"/>
    <w:rsid w:val="00314E28"/>
    <w:rsid w:val="003161F6"/>
    <w:rsid w:val="0031766F"/>
    <w:rsid w:val="00321670"/>
    <w:rsid w:val="003231FD"/>
    <w:rsid w:val="0033021F"/>
    <w:rsid w:val="00331BE5"/>
    <w:rsid w:val="003332A1"/>
    <w:rsid w:val="0033400D"/>
    <w:rsid w:val="00334A83"/>
    <w:rsid w:val="003357D1"/>
    <w:rsid w:val="00337340"/>
    <w:rsid w:val="00340BFF"/>
    <w:rsid w:val="00342BB9"/>
    <w:rsid w:val="00344747"/>
    <w:rsid w:val="003467AA"/>
    <w:rsid w:val="00347B1B"/>
    <w:rsid w:val="003518E6"/>
    <w:rsid w:val="00356695"/>
    <w:rsid w:val="003569F3"/>
    <w:rsid w:val="00357303"/>
    <w:rsid w:val="003574EC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9CF"/>
    <w:rsid w:val="00391001"/>
    <w:rsid w:val="003911A6"/>
    <w:rsid w:val="0039164C"/>
    <w:rsid w:val="0039195A"/>
    <w:rsid w:val="00392838"/>
    <w:rsid w:val="00393899"/>
    <w:rsid w:val="00393D8B"/>
    <w:rsid w:val="00397335"/>
    <w:rsid w:val="003A1894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72B5"/>
    <w:rsid w:val="004B7E73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E2077"/>
    <w:rsid w:val="004E417A"/>
    <w:rsid w:val="004E52A2"/>
    <w:rsid w:val="004E65F7"/>
    <w:rsid w:val="004E6977"/>
    <w:rsid w:val="004E7879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4B0"/>
    <w:rsid w:val="00551C6F"/>
    <w:rsid w:val="00552270"/>
    <w:rsid w:val="005535AF"/>
    <w:rsid w:val="0055373C"/>
    <w:rsid w:val="005554F1"/>
    <w:rsid w:val="005602CD"/>
    <w:rsid w:val="005632BF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4BB8"/>
    <w:rsid w:val="00585686"/>
    <w:rsid w:val="0058761D"/>
    <w:rsid w:val="005907DE"/>
    <w:rsid w:val="00591A87"/>
    <w:rsid w:val="00592C13"/>
    <w:rsid w:val="00596D47"/>
    <w:rsid w:val="005A219D"/>
    <w:rsid w:val="005A4064"/>
    <w:rsid w:val="005A5699"/>
    <w:rsid w:val="005A7AF6"/>
    <w:rsid w:val="005B13F3"/>
    <w:rsid w:val="005B161F"/>
    <w:rsid w:val="005B1E90"/>
    <w:rsid w:val="005B4ED9"/>
    <w:rsid w:val="005B6DB0"/>
    <w:rsid w:val="005B705E"/>
    <w:rsid w:val="005C07C6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DE7"/>
    <w:rsid w:val="006A763D"/>
    <w:rsid w:val="006A775C"/>
    <w:rsid w:val="006B11EE"/>
    <w:rsid w:val="006B3B81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C61"/>
    <w:rsid w:val="007010F2"/>
    <w:rsid w:val="00701AA4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B8F"/>
    <w:rsid w:val="00782E21"/>
    <w:rsid w:val="00783796"/>
    <w:rsid w:val="00784426"/>
    <w:rsid w:val="007869C7"/>
    <w:rsid w:val="00786E47"/>
    <w:rsid w:val="007909D9"/>
    <w:rsid w:val="007911CD"/>
    <w:rsid w:val="00791379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4D5"/>
    <w:rsid w:val="00824F53"/>
    <w:rsid w:val="00825AC6"/>
    <w:rsid w:val="00825E64"/>
    <w:rsid w:val="008275A9"/>
    <w:rsid w:val="00832C6A"/>
    <w:rsid w:val="0083321A"/>
    <w:rsid w:val="00833760"/>
    <w:rsid w:val="00834816"/>
    <w:rsid w:val="00835100"/>
    <w:rsid w:val="008372DA"/>
    <w:rsid w:val="00842515"/>
    <w:rsid w:val="008426B2"/>
    <w:rsid w:val="008426F8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C3F"/>
    <w:rsid w:val="00866D9A"/>
    <w:rsid w:val="00867257"/>
    <w:rsid w:val="00870387"/>
    <w:rsid w:val="0087089E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171F"/>
    <w:rsid w:val="008D235D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C22"/>
    <w:rsid w:val="00913D96"/>
    <w:rsid w:val="009147D9"/>
    <w:rsid w:val="00916BAE"/>
    <w:rsid w:val="00916BCE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70820"/>
    <w:rsid w:val="009718F5"/>
    <w:rsid w:val="00973E60"/>
    <w:rsid w:val="00973E71"/>
    <w:rsid w:val="009766E9"/>
    <w:rsid w:val="009770E5"/>
    <w:rsid w:val="009774E3"/>
    <w:rsid w:val="00980B07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90684"/>
    <w:rsid w:val="00992DBD"/>
    <w:rsid w:val="009931C0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55D"/>
    <w:rsid w:val="009E3B46"/>
    <w:rsid w:val="009E599F"/>
    <w:rsid w:val="009E5B5E"/>
    <w:rsid w:val="009F17C2"/>
    <w:rsid w:val="009F2042"/>
    <w:rsid w:val="009F3AE6"/>
    <w:rsid w:val="009F54D6"/>
    <w:rsid w:val="009F6FFC"/>
    <w:rsid w:val="009F79C6"/>
    <w:rsid w:val="00A013B3"/>
    <w:rsid w:val="00A0212D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874"/>
    <w:rsid w:val="00A41110"/>
    <w:rsid w:val="00A43401"/>
    <w:rsid w:val="00A46FDA"/>
    <w:rsid w:val="00A50B9C"/>
    <w:rsid w:val="00A52DE1"/>
    <w:rsid w:val="00A60307"/>
    <w:rsid w:val="00A6131C"/>
    <w:rsid w:val="00A652C4"/>
    <w:rsid w:val="00A720AD"/>
    <w:rsid w:val="00A72563"/>
    <w:rsid w:val="00A72E1E"/>
    <w:rsid w:val="00A75EB8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909AC"/>
    <w:rsid w:val="00A91860"/>
    <w:rsid w:val="00A92A81"/>
    <w:rsid w:val="00AA13EB"/>
    <w:rsid w:val="00AA2FD3"/>
    <w:rsid w:val="00AA537F"/>
    <w:rsid w:val="00AA5637"/>
    <w:rsid w:val="00AA5CA6"/>
    <w:rsid w:val="00AB12DC"/>
    <w:rsid w:val="00AB1808"/>
    <w:rsid w:val="00AB50E3"/>
    <w:rsid w:val="00AB66B1"/>
    <w:rsid w:val="00AC17C7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3168"/>
    <w:rsid w:val="00AE4379"/>
    <w:rsid w:val="00AE57AD"/>
    <w:rsid w:val="00AF0987"/>
    <w:rsid w:val="00AF2AF0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708E"/>
    <w:rsid w:val="00B32EC3"/>
    <w:rsid w:val="00B3324F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9B8"/>
    <w:rsid w:val="00B51AD2"/>
    <w:rsid w:val="00B535DA"/>
    <w:rsid w:val="00B560D2"/>
    <w:rsid w:val="00B60EE8"/>
    <w:rsid w:val="00B642CD"/>
    <w:rsid w:val="00B6581A"/>
    <w:rsid w:val="00B67548"/>
    <w:rsid w:val="00B675BA"/>
    <w:rsid w:val="00B709AB"/>
    <w:rsid w:val="00B7236E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3617"/>
    <w:rsid w:val="00BB5614"/>
    <w:rsid w:val="00BC081A"/>
    <w:rsid w:val="00BC1762"/>
    <w:rsid w:val="00BC1D07"/>
    <w:rsid w:val="00BC4275"/>
    <w:rsid w:val="00BC42A3"/>
    <w:rsid w:val="00BC575F"/>
    <w:rsid w:val="00BC7557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62DD"/>
    <w:rsid w:val="00CB10C8"/>
    <w:rsid w:val="00CB186B"/>
    <w:rsid w:val="00CB2285"/>
    <w:rsid w:val="00CB23DC"/>
    <w:rsid w:val="00CB2E63"/>
    <w:rsid w:val="00CB336E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46F5"/>
    <w:rsid w:val="00D3495F"/>
    <w:rsid w:val="00D4183C"/>
    <w:rsid w:val="00D444CA"/>
    <w:rsid w:val="00D52A98"/>
    <w:rsid w:val="00D53627"/>
    <w:rsid w:val="00D53678"/>
    <w:rsid w:val="00D55C57"/>
    <w:rsid w:val="00D57A75"/>
    <w:rsid w:val="00D6097D"/>
    <w:rsid w:val="00D63BB6"/>
    <w:rsid w:val="00D6738C"/>
    <w:rsid w:val="00D72F30"/>
    <w:rsid w:val="00D749CA"/>
    <w:rsid w:val="00D8025B"/>
    <w:rsid w:val="00D805A1"/>
    <w:rsid w:val="00D8312C"/>
    <w:rsid w:val="00D8358A"/>
    <w:rsid w:val="00D862C0"/>
    <w:rsid w:val="00D90E81"/>
    <w:rsid w:val="00D9569D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F0208F"/>
    <w:rsid w:val="00F03515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CB8"/>
  <w15:docId w15:val="{F860F475-2905-4335-8DF2-197DF467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4077-F540-4D17-A921-DFB95A15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8109</TotalTime>
  <Pages>61</Pages>
  <Words>23496</Words>
  <Characters>133929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cp:lastPrinted>2024-01-29T02:36:00Z</cp:lastPrinted>
  <dcterms:created xsi:type="dcterms:W3CDTF">2022-03-03T08:32:00Z</dcterms:created>
  <dcterms:modified xsi:type="dcterms:W3CDTF">2024-02-29T02:39:00Z</dcterms:modified>
</cp:coreProperties>
</file>