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6F557B" w:rsidP="00F03515">
      <w:pPr>
        <w:rPr>
          <w:bCs/>
        </w:rPr>
      </w:pPr>
      <w:r>
        <w:rPr>
          <w:bCs/>
        </w:rPr>
        <w:t>24.06.</w:t>
      </w:r>
      <w:r w:rsidR="0003341F">
        <w:rPr>
          <w:bCs/>
        </w:rPr>
        <w:t xml:space="preserve"> </w:t>
      </w:r>
      <w:r w:rsidR="00F03515">
        <w:rPr>
          <w:bCs/>
        </w:rPr>
        <w:t>20</w:t>
      </w:r>
      <w:r w:rsidR="00102040">
        <w:rPr>
          <w:bCs/>
        </w:rPr>
        <w:t>2</w:t>
      </w:r>
      <w:r w:rsidR="00A86D79">
        <w:rPr>
          <w:bCs/>
        </w:rPr>
        <w:t>5</w:t>
      </w:r>
      <w:r w:rsidR="00F03515" w:rsidRPr="00574B07">
        <w:rPr>
          <w:bCs/>
        </w:rPr>
        <w:tab/>
      </w:r>
      <w:r w:rsidR="008F35F3">
        <w:rPr>
          <w:bCs/>
        </w:rPr>
        <w:t>г</w:t>
      </w:r>
      <w:r w:rsidR="00F03515" w:rsidRPr="00574B07">
        <w:rPr>
          <w:bCs/>
        </w:rPr>
        <w:tab/>
      </w:r>
      <w:r w:rsidR="00F03515" w:rsidRPr="00574B07">
        <w:rPr>
          <w:bCs/>
        </w:rPr>
        <w:tab/>
      </w:r>
      <w:r w:rsidR="00F03515" w:rsidRPr="00574B07">
        <w:rPr>
          <w:bCs/>
        </w:rPr>
        <w:tab/>
      </w:r>
      <w:r w:rsidR="00F03515" w:rsidRPr="00574B07">
        <w:rPr>
          <w:bCs/>
        </w:rPr>
        <w:tab/>
      </w:r>
      <w:r w:rsidR="00F03515" w:rsidRPr="00574B07">
        <w:rPr>
          <w:bCs/>
        </w:rPr>
        <w:tab/>
        <w:t xml:space="preserve">                          </w:t>
      </w:r>
      <w:r w:rsidR="00F03515">
        <w:rPr>
          <w:bCs/>
        </w:rPr>
        <w:t xml:space="preserve">            </w:t>
      </w:r>
      <w:r>
        <w:rPr>
          <w:bCs/>
        </w:rPr>
        <w:t xml:space="preserve">             </w:t>
      </w:r>
      <w:r w:rsidR="00F03515">
        <w:rPr>
          <w:bCs/>
        </w:rPr>
        <w:t xml:space="preserve"> </w:t>
      </w:r>
      <w:r w:rsidR="00F03515" w:rsidRPr="00574B07">
        <w:rPr>
          <w:bCs/>
        </w:rPr>
        <w:t xml:space="preserve">№ </w:t>
      </w:r>
      <w:r>
        <w:rPr>
          <w:bCs/>
        </w:rPr>
        <w:t xml:space="preserve"> 110-П</w:t>
      </w:r>
    </w:p>
    <w:p w:rsidR="00F03515" w:rsidRPr="00574B07" w:rsidRDefault="00F03515" w:rsidP="00F03515"/>
    <w:p w:rsidR="00F03515" w:rsidRPr="0079198A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210BF6" w:rsidRPr="005C327F">
        <w:t xml:space="preserve">в ред. от </w:t>
      </w:r>
      <w:r w:rsidR="005C327F" w:rsidRPr="005C327F">
        <w:t>0</w:t>
      </w:r>
      <w:r w:rsidR="00066ABF">
        <w:t>7.0</w:t>
      </w:r>
      <w:r w:rsidR="001F0163">
        <w:t>2</w:t>
      </w:r>
      <w:r w:rsidR="00F01183" w:rsidRPr="005C327F">
        <w:t>.202</w:t>
      </w:r>
      <w:r w:rsidR="00066ABF">
        <w:t>5</w:t>
      </w:r>
      <w:r w:rsidR="00F01183" w:rsidRPr="005C327F">
        <w:t>г.</w:t>
      </w:r>
      <w:r w:rsidR="008F35F3" w:rsidRPr="005C327F">
        <w:t xml:space="preserve"> </w:t>
      </w:r>
      <w:r w:rsidR="00210BF6" w:rsidRPr="005C327F">
        <w:t xml:space="preserve"> № </w:t>
      </w:r>
      <w:r w:rsidR="00066ABF">
        <w:t>31</w:t>
      </w:r>
      <w:r w:rsidR="008F35F3" w:rsidRPr="005C327F">
        <w:t>-</w:t>
      </w:r>
      <w:r w:rsidR="00210BF6" w:rsidRPr="005C327F">
        <w:t>П</w:t>
      </w:r>
      <w:r w:rsidRPr="005C327F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5C327F" w:rsidRPr="005C327F">
        <w:t>в ред. от 0</w:t>
      </w:r>
      <w:r w:rsidR="00066ABF">
        <w:t>7.0</w:t>
      </w:r>
      <w:r w:rsidR="001F0163">
        <w:t>2</w:t>
      </w:r>
      <w:r w:rsidR="00F03D61" w:rsidRPr="005C327F">
        <w:t>.202</w:t>
      </w:r>
      <w:r w:rsidR="00066ABF">
        <w:t>5</w:t>
      </w:r>
      <w:r w:rsidR="00F03D61" w:rsidRPr="005C327F">
        <w:t xml:space="preserve">г. № </w:t>
      </w:r>
      <w:r w:rsidR="00066ABF">
        <w:t>31</w:t>
      </w:r>
      <w:r w:rsidR="00C81782" w:rsidRPr="005C327F">
        <w:t>-П</w:t>
      </w:r>
      <w:r w:rsidRPr="005C327F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066ABF" w:rsidRPr="00171B05">
        <w:rPr>
          <w:color w:val="000000" w:themeColor="text1"/>
        </w:rPr>
        <w:t>01.01</w:t>
      </w:r>
      <w:r w:rsidR="00AF6044" w:rsidRPr="00171B05">
        <w:rPr>
          <w:color w:val="000000" w:themeColor="text1"/>
        </w:rPr>
        <w:t>.202</w:t>
      </w:r>
      <w:r w:rsidR="00066ABF" w:rsidRPr="00171B05">
        <w:rPr>
          <w:color w:val="000000" w:themeColor="text1"/>
        </w:rPr>
        <w:t>5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B86A32">
        <w:t>Я.О.Долгирев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</w:t>
      </w:r>
      <w:r w:rsidR="006F557B">
        <w:t>24.06.</w:t>
      </w:r>
      <w:r w:rsidRPr="00E231AB">
        <w:t>20</w:t>
      </w:r>
      <w:r w:rsidR="00EF7808">
        <w:t>2</w:t>
      </w:r>
      <w:r w:rsidR="00A86D79">
        <w:t>5</w:t>
      </w:r>
      <w:r w:rsidR="008F35F3">
        <w:t xml:space="preserve">г </w:t>
      </w:r>
      <w:r w:rsidR="006F557B">
        <w:t xml:space="preserve">  </w:t>
      </w:r>
      <w:r w:rsidRPr="00E231AB">
        <w:t xml:space="preserve">№ </w:t>
      </w:r>
      <w:r w:rsidR="006F557B">
        <w:t xml:space="preserve"> 110-П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</w:t>
            </w:r>
            <w:r w:rsidR="00D74198">
              <w:t>2027год-до 40,0%;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  <w:r w:rsidR="00D74198">
              <w:t xml:space="preserve">          2030год-до 35,0%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</w:t>
            </w:r>
            <w:r w:rsidR="00D74198">
              <w:t>2027год-до 3,0 ед.;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  <w:r w:rsidR="00D74198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</w:t>
            </w:r>
            <w:r w:rsidR="00D74198">
              <w:t>2027год-до 20,0%;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  <w:r w:rsidR="00D74198">
              <w:t xml:space="preserve">         2030год-до 20,0%.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</w:t>
            </w:r>
            <w:r w:rsidR="00D74198">
              <w:t>2027год-до 42,0%.;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  <w:r w:rsidR="00D74198">
              <w:t xml:space="preserve">          2030год-до 42,0%.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</w:t>
            </w:r>
            <w:r w:rsidR="00D74198">
              <w:t>2027год-до 3,0 ед.;</w:t>
            </w:r>
            <w:r w:rsidR="00DC4ACB">
              <w:t>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  <w:r w:rsidR="00D74198">
              <w:t xml:space="preserve">         2030год-до 3,0 ед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</w:t>
            </w:r>
            <w:r w:rsidR="00D74198">
              <w:t>2027год-до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  <w:r w:rsidR="00D74198">
              <w:t xml:space="preserve">       2030год-до 88,0%.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74198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A23263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74198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A23263">
              <w:rPr>
                <w:sz w:val="24"/>
                <w:szCs w:val="24"/>
                <w:lang w:val="ru-RU" w:eastAsia="ru-RU"/>
              </w:rPr>
              <w:t>- 2027 год – 100,0%;</w:t>
            </w:r>
          </w:p>
          <w:p w:rsidR="007E10C0" w:rsidRPr="00C16380" w:rsidRDefault="00D74198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74198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A23263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74198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A23263">
              <w:rPr>
                <w:sz w:val="24"/>
                <w:szCs w:val="24"/>
                <w:lang w:val="ru-RU" w:eastAsia="ru-RU"/>
              </w:rPr>
              <w:t>- 2027 год – 70,0%;</w:t>
            </w:r>
          </w:p>
          <w:p w:rsidR="00642789" w:rsidRDefault="00D74198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- 2030 год – 90,0%.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74198">
              <w:rPr>
                <w:sz w:val="24"/>
                <w:szCs w:val="24"/>
                <w:lang w:val="ru-RU" w:eastAsia="ru-RU"/>
              </w:rPr>
              <w:t>- 2027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74198">
              <w:rPr>
                <w:sz w:val="24"/>
                <w:szCs w:val="24"/>
                <w:lang w:val="ru-RU" w:eastAsia="ru-RU"/>
              </w:rPr>
              <w:t xml:space="preserve"> 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D74198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74198">
              <w:t xml:space="preserve"> - 202</w:t>
            </w:r>
            <w:r w:rsidR="00A23263">
              <w:t>7</w:t>
            </w:r>
            <w:r w:rsidR="00D74198">
              <w:t xml:space="preserve">год - </w:t>
            </w:r>
            <w:r w:rsidR="00D74198" w:rsidRPr="00B97D54">
              <w:t>3</w:t>
            </w:r>
            <w:r w:rsidR="00D74198">
              <w:t>5</w:t>
            </w:r>
            <w:r w:rsidR="00D74198" w:rsidRPr="00B97D54">
              <w:t>,</w:t>
            </w:r>
            <w:r w:rsidR="00D74198">
              <w:t>0</w:t>
            </w:r>
            <w:r w:rsidR="00D74198" w:rsidRPr="00B97D54">
              <w:t xml:space="preserve"> кг у.т/тыс. рублей</w:t>
            </w:r>
          </w:p>
          <w:p w:rsidR="00C51473" w:rsidRDefault="00DC4ACB" w:rsidP="00C51473">
            <w:pPr>
              <w:pStyle w:val="af0"/>
            </w:pPr>
            <w:r>
              <w:t xml:space="preserve">- 2030 год - </w:t>
            </w:r>
            <w:r w:rsidRPr="00B97D54">
              <w:t>3</w:t>
            </w:r>
            <w:r>
              <w:t>5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C51473"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</w:t>
            </w:r>
            <w:r w:rsidR="00D74198">
              <w:rPr>
                <w:sz w:val="24"/>
                <w:szCs w:val="24"/>
                <w:lang w:val="ru-RU" w:eastAsia="ru-RU"/>
              </w:rPr>
              <w:t>27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</w:t>
            </w:r>
            <w:r w:rsidR="00D74198">
              <w:rPr>
                <w:sz w:val="24"/>
                <w:szCs w:val="24"/>
                <w:lang w:val="ru-RU" w:eastAsia="ru-RU"/>
              </w:rPr>
              <w:t>- 2030 год – 100,0%.</w:t>
            </w:r>
            <w:r w:rsidR="00D74198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</w:t>
            </w:r>
            <w:r w:rsidR="00D74198">
              <w:t>27</w:t>
            </w:r>
            <w:r w:rsidR="00DC4ACB">
              <w:t xml:space="preserve">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lastRenderedPageBreak/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</w:t>
            </w:r>
            <w:r w:rsidR="00D74198">
              <w:t xml:space="preserve">- 2030 год – 95,0%.                                </w:t>
            </w:r>
            <w:r>
              <w:t xml:space="preserve">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t>Общий объем финансирования программы в 2014-202</w:t>
            </w:r>
            <w:r w:rsidR="00582570">
              <w:t>7</w:t>
            </w:r>
            <w:r w:rsidRPr="001513DF">
              <w:t xml:space="preserve"> годах за счет всех источников финансирования составит </w:t>
            </w:r>
            <w:r w:rsidR="00D74198">
              <w:t>1083475,3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D74198">
              <w:rPr>
                <w:rFonts w:ascii="Times New Roman" w:hAnsi="Times New Roman" w:cs="Times New Roman"/>
                <w:sz w:val="24"/>
                <w:szCs w:val="24"/>
              </w:rPr>
              <w:t>691247,3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58312,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91323,3</w:t>
            </w:r>
            <w:r w:rsidRPr="00CA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D74198">
              <w:rPr>
                <w:rFonts w:ascii="Times New Roman" w:hAnsi="Times New Roman" w:cs="Times New Roman"/>
                <w:sz w:val="24"/>
                <w:szCs w:val="24"/>
              </w:rPr>
              <w:t>31693,4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74198">
              <w:rPr>
                <w:rFonts w:ascii="Times New Roman" w:hAnsi="Times New Roman" w:cs="Times New Roman"/>
                <w:sz w:val="24"/>
                <w:szCs w:val="24"/>
              </w:rPr>
              <w:t>31693,4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D74198" w:rsidRPr="001513DF" w:rsidRDefault="00D74198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31693,4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D74198">
              <w:rPr>
                <w:rFonts w:ascii="Times New Roman" w:hAnsi="Times New Roman" w:cs="Times New Roman"/>
                <w:sz w:val="24"/>
                <w:szCs w:val="24"/>
              </w:rPr>
              <w:t>273098,2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37634,6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45513,2</w:t>
            </w:r>
            <w:r w:rsidR="00F72FF8" w:rsidRPr="0017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23612,9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A23263" w:rsidRPr="001513DF" w:rsidRDefault="00A23263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год -           0,0 тыс.рублей;</w:t>
            </w:r>
          </w:p>
          <w:p w:rsidR="00A23263" w:rsidRPr="001513DF" w:rsidRDefault="00A2326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A23263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тыс.рублей;                 2027 год- 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7818E6" w:rsidRPr="00E46AED">
        <w:t xml:space="preserve"> до </w:t>
      </w:r>
      <w:r w:rsidR="007818E6" w:rsidRPr="00E46AED">
        <w:rPr>
          <w:lang w:val="ru-RU"/>
        </w:rPr>
        <w:t>40,</w:t>
      </w:r>
      <w:r w:rsidR="003A3328" w:rsidRPr="00E46AED">
        <w:rPr>
          <w:lang w:val="ru-RU"/>
        </w:rPr>
        <w:t>0</w:t>
      </w:r>
      <w:r w:rsidRPr="00E46AED">
        <w:t>%</w:t>
      </w:r>
      <w:r w:rsidR="003A3328" w:rsidRPr="00E46AED">
        <w:rPr>
          <w:lang w:val="ru-RU"/>
        </w:rPr>
        <w:t xml:space="preserve"> на 01.01.2025</w:t>
      </w:r>
      <w:r w:rsidRPr="00E46AED">
        <w:t xml:space="preserve">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Pr="00E46AED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ED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 w:rsidRPr="00E46AED">
        <w:rPr>
          <w:rFonts w:ascii="Times New Roman" w:hAnsi="Times New Roman" w:cs="Times New Roman"/>
          <w:sz w:val="24"/>
          <w:szCs w:val="24"/>
        </w:rPr>
        <w:t xml:space="preserve"> в 202</w:t>
      </w:r>
      <w:r w:rsidR="007818E6" w:rsidRPr="00E46AED">
        <w:rPr>
          <w:rFonts w:ascii="Times New Roman" w:hAnsi="Times New Roman" w:cs="Times New Roman"/>
          <w:sz w:val="24"/>
          <w:szCs w:val="24"/>
        </w:rPr>
        <w:t>4</w:t>
      </w:r>
      <w:r w:rsidR="007E59D2" w:rsidRPr="00E46AED">
        <w:rPr>
          <w:rFonts w:ascii="Times New Roman" w:hAnsi="Times New Roman" w:cs="Times New Roman"/>
          <w:sz w:val="24"/>
          <w:szCs w:val="24"/>
        </w:rPr>
        <w:t>г</w:t>
      </w:r>
      <w:r w:rsidRPr="00E46AE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 w:rsidRPr="00E46AED">
        <w:rPr>
          <w:rFonts w:ascii="Times New Roman" w:hAnsi="Times New Roman" w:cs="Times New Roman"/>
          <w:sz w:val="24"/>
          <w:szCs w:val="24"/>
        </w:rPr>
        <w:t>40,</w:t>
      </w:r>
      <w:r w:rsidR="003A3328" w:rsidRPr="00E46AED">
        <w:rPr>
          <w:rFonts w:ascii="Times New Roman" w:hAnsi="Times New Roman" w:cs="Times New Roman"/>
          <w:sz w:val="24"/>
          <w:szCs w:val="24"/>
        </w:rPr>
        <w:t>0</w:t>
      </w:r>
      <w:r w:rsidRPr="00E46AE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E46AED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AED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 w:rsidRPr="00E46AED">
        <w:rPr>
          <w:rFonts w:ascii="Times New Roman" w:hAnsi="Times New Roman" w:cs="Times New Roman"/>
          <w:sz w:val="24"/>
          <w:szCs w:val="24"/>
        </w:rPr>
        <w:t>35</w:t>
      </w:r>
      <w:r w:rsidRPr="00E46AED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 w:rsidRPr="00E46AED">
        <w:rPr>
          <w:rFonts w:ascii="Times New Roman" w:hAnsi="Times New Roman" w:cs="Times New Roman"/>
          <w:sz w:val="24"/>
          <w:szCs w:val="24"/>
        </w:rPr>
        <w:t>30</w:t>
      </w:r>
      <w:r w:rsidRPr="00E46AE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>На территории района за 20</w:t>
      </w:r>
      <w:r w:rsidR="005830D7" w:rsidRPr="00E46AED">
        <w:rPr>
          <w:lang w:val="ru-RU"/>
        </w:rPr>
        <w:t>2</w:t>
      </w:r>
      <w:r w:rsidR="007818E6" w:rsidRPr="00E46AED">
        <w:rPr>
          <w:lang w:val="ru-RU"/>
        </w:rPr>
        <w:t>4</w:t>
      </w:r>
      <w:r w:rsidRPr="00E46AED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 xml:space="preserve">холодная вода – </w:t>
      </w:r>
      <w:r w:rsidR="00E7692C" w:rsidRPr="00E46AED">
        <w:rPr>
          <w:lang w:val="ru-RU"/>
        </w:rPr>
        <w:t>3</w:t>
      </w:r>
      <w:r w:rsidR="0091483A" w:rsidRPr="00E46AED">
        <w:rPr>
          <w:lang w:val="ru-RU"/>
        </w:rPr>
        <w:t>77</w:t>
      </w:r>
      <w:r w:rsidR="00E7692C" w:rsidRPr="00E46AED">
        <w:rPr>
          <w:lang w:val="ru-RU"/>
        </w:rPr>
        <w:t>,5</w:t>
      </w:r>
      <w:r w:rsidR="0091483A" w:rsidRPr="00E46AED">
        <w:rPr>
          <w:lang w:val="ru-RU"/>
        </w:rPr>
        <w:t>5</w:t>
      </w:r>
      <w:r w:rsidR="007818E6" w:rsidRPr="00E46AED">
        <w:rPr>
          <w:lang w:val="ru-RU"/>
        </w:rPr>
        <w:t xml:space="preserve"> </w:t>
      </w:r>
      <w:r w:rsidRPr="00E46AED">
        <w:t>тыс. м</w:t>
      </w:r>
      <w:r w:rsidRPr="00E46AED">
        <w:rPr>
          <w:vertAlign w:val="superscript"/>
        </w:rPr>
        <w:t>3</w:t>
      </w:r>
      <w:r w:rsidRPr="00E46AED">
        <w:t>;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 xml:space="preserve">горячая вода </w:t>
      </w:r>
      <w:r w:rsidR="00C76BE2" w:rsidRPr="00E46AED">
        <w:t>–</w:t>
      </w:r>
      <w:r w:rsidRPr="00E46AED">
        <w:t xml:space="preserve"> </w:t>
      </w:r>
      <w:r w:rsidR="0091483A" w:rsidRPr="00E46AED">
        <w:rPr>
          <w:lang w:val="ru-RU"/>
        </w:rPr>
        <w:t>40</w:t>
      </w:r>
      <w:r w:rsidR="00C76BE2" w:rsidRPr="00E46AED">
        <w:rPr>
          <w:lang w:val="ru-RU"/>
        </w:rPr>
        <w:t>,1</w:t>
      </w:r>
      <w:r w:rsidR="007818E6" w:rsidRPr="00E46AED">
        <w:rPr>
          <w:lang w:val="ru-RU"/>
        </w:rPr>
        <w:t xml:space="preserve"> </w:t>
      </w:r>
      <w:r w:rsidRPr="00E46AED">
        <w:t>тыс. м</w:t>
      </w:r>
      <w:r w:rsidRPr="00E46AED">
        <w:rPr>
          <w:vertAlign w:val="superscript"/>
        </w:rPr>
        <w:t>3</w:t>
      </w:r>
      <w:r w:rsidRPr="00E46AED">
        <w:t>;</w:t>
      </w:r>
    </w:p>
    <w:p w:rsidR="00F03515" w:rsidRPr="00E46AED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E46AED">
        <w:t xml:space="preserve">водоотведение – </w:t>
      </w:r>
      <w:r w:rsidR="00C76BE2" w:rsidRPr="00E46AED">
        <w:rPr>
          <w:lang w:val="ru-RU"/>
        </w:rPr>
        <w:t>1</w:t>
      </w:r>
      <w:r w:rsidR="0091483A" w:rsidRPr="00E46AED">
        <w:rPr>
          <w:lang w:val="ru-RU"/>
        </w:rPr>
        <w:t>21,0</w:t>
      </w:r>
      <w:r w:rsidR="00E7692C" w:rsidRPr="00E46AED">
        <w:rPr>
          <w:lang w:val="ru-RU"/>
        </w:rPr>
        <w:t>3</w:t>
      </w:r>
      <w:r w:rsidR="007818E6" w:rsidRPr="00E46AED">
        <w:rPr>
          <w:lang w:val="ru-RU"/>
        </w:rPr>
        <w:t xml:space="preserve"> </w:t>
      </w:r>
      <w:r w:rsidRPr="00E46AED">
        <w:t>тыс. м</w:t>
      </w:r>
      <w:r w:rsidRPr="00E46AED">
        <w:rPr>
          <w:vertAlign w:val="superscript"/>
        </w:rPr>
        <w:t>3</w:t>
      </w:r>
      <w:r w:rsidRPr="00E46AED">
        <w:t>;</w:t>
      </w:r>
    </w:p>
    <w:p w:rsidR="00F03515" w:rsidRPr="00E46AED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E46AED">
        <w:t xml:space="preserve">тепловая энергия  – </w:t>
      </w:r>
      <w:r w:rsidR="007818E6" w:rsidRPr="00E46AED">
        <w:rPr>
          <w:lang w:val="ru-RU"/>
        </w:rPr>
        <w:t xml:space="preserve">46,053 </w:t>
      </w:r>
      <w:r w:rsidRPr="00E46AED">
        <w:t>тыс. Гкал;</w:t>
      </w:r>
    </w:p>
    <w:p w:rsidR="00F03515" w:rsidRPr="00E46AED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ED">
        <w:rPr>
          <w:rFonts w:ascii="Times New Roman" w:eastAsia="Calibri" w:hAnsi="Times New Roman" w:cs="Times New Roman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Ачинского района на </w:t>
      </w:r>
      <w:r w:rsidR="003A3328" w:rsidRPr="00E46AED">
        <w:rPr>
          <w:rFonts w:ascii="Times New Roman" w:eastAsia="Calibri" w:hAnsi="Times New Roman" w:cs="Times New Roman"/>
          <w:sz w:val="24"/>
          <w:szCs w:val="24"/>
        </w:rPr>
        <w:t>01.01.2025</w:t>
      </w:r>
      <w:r w:rsidRPr="00E46AED">
        <w:rPr>
          <w:rFonts w:ascii="Times New Roman" w:eastAsia="Calibri" w:hAnsi="Times New Roman" w:cs="Times New Roman"/>
          <w:sz w:val="24"/>
          <w:szCs w:val="24"/>
        </w:rPr>
        <w:t xml:space="preserve">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ED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</w:t>
      </w:r>
      <w:r w:rsidR="0091483A" w:rsidRPr="00E46AED">
        <w:rPr>
          <w:rFonts w:ascii="Times New Roman" w:eastAsia="Calibri" w:hAnsi="Times New Roman" w:cs="Times New Roman"/>
          <w:sz w:val="24"/>
          <w:szCs w:val="24"/>
        </w:rPr>
        <w:t>объектов ЖКХ</w:t>
      </w:r>
      <w:r w:rsidRPr="00E46AE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минималь</w:t>
      </w:r>
      <w:r w:rsidR="000459B9" w:rsidRPr="00E46AED">
        <w:rPr>
          <w:rFonts w:ascii="Times New Roman" w:eastAsia="Calibri" w:hAnsi="Times New Roman" w:cs="Times New Roman"/>
          <w:sz w:val="24"/>
          <w:szCs w:val="24"/>
        </w:rPr>
        <w:t>но-необходимых объемах. В лучшем случае – с частичной модернизацией.</w:t>
      </w: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</w:t>
      </w:r>
      <w:r w:rsidRPr="00CC6344">
        <w:lastRenderedPageBreak/>
        <w:t>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9F4B55" w:rsidRPr="009F4B55" w:rsidRDefault="009F4B5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9F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программе "Реформирование и модернизация жилищно-коммунального хозяйства и повышение энергетической эффективности" (далее - государственная программа) мероприятий, направленных на компенсацию недополученных доходов исполнителей коммунальных услуг, позволяет достичь цели государственной программы по обеспечению населения Красноярского края качественными жилищно-коммунальными услугами в условиях ограниченного роста оплаты коммунальных услуг.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B95326" w:rsidRPr="00B95326" w:rsidRDefault="00B95326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B95326">
        <w:rPr>
          <w:shd w:val="clear" w:color="auto" w:fill="FFFFFF"/>
        </w:rPr>
        <w:t>Программа разработана для покрытия перспективной потребности в энергоносителях и воде для обеспечения эффективного, качественного и надлежащего снабжения коммунальными ресурсами с минимальными издержками за весь цикл жизни систем жизнеобеспечения, а также в целях повышения экологической безопасности на территории района,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получения коммунальных услуг по обоснованным ценам.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D756A3" w:rsidRPr="002E7E8C">
        <w:rPr>
          <w:rFonts w:eastAsia="Calibri"/>
        </w:rPr>
        <w:t>46</w:t>
      </w:r>
      <w:r w:rsidR="00D756A3">
        <w:rPr>
          <w:rFonts w:eastAsia="Calibri"/>
        </w:rPr>
        <w:t>,</w:t>
      </w:r>
      <w:r w:rsidR="00D756A3" w:rsidRPr="002E7E8C">
        <w:rPr>
          <w:rFonts w:eastAsia="Calibri"/>
        </w:rPr>
        <w:t>053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>тыс. Гкал тепловой энергии</w:t>
      </w:r>
      <w:r w:rsidR="003A3328">
        <w:rPr>
          <w:rFonts w:eastAsia="Calibri"/>
        </w:rPr>
        <w:t xml:space="preserve"> (за 2024 год)</w:t>
      </w:r>
      <w:r w:rsidRPr="00CC6344">
        <w:rPr>
          <w:rFonts w:eastAsia="Calibri"/>
        </w:rPr>
        <w:t xml:space="preserve">. По тепловым сетям, протяженностью </w:t>
      </w:r>
      <w:r w:rsidR="00386E71" w:rsidRPr="00386E71">
        <w:rPr>
          <w:rFonts w:eastAsia="Calibri"/>
        </w:rPr>
        <w:t>23</w:t>
      </w:r>
      <w:r w:rsidR="005F526C">
        <w:rPr>
          <w:rFonts w:eastAsia="Calibri"/>
        </w:rPr>
        <w:t>,</w:t>
      </w:r>
      <w:r w:rsidR="00386E71">
        <w:rPr>
          <w:rFonts w:eastAsia="Calibri"/>
          <w:lang w:val="en-US"/>
        </w:rPr>
        <w:t>832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</w:t>
      </w:r>
      <w:r w:rsidRPr="00CC6344">
        <w:lastRenderedPageBreak/>
        <w:t>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</w:t>
      </w:r>
      <w:r w:rsidR="00B95326">
        <w:rPr>
          <w:rFonts w:ascii="Times New Roman" w:hAnsi="Times New Roman"/>
          <w:sz w:val="24"/>
          <w:szCs w:val="24"/>
          <w:lang w:val="ru-RU"/>
        </w:rPr>
        <w:t>3</w:t>
      </w:r>
      <w:r w:rsidR="00E7692C">
        <w:rPr>
          <w:rFonts w:ascii="Times New Roman" w:hAnsi="Times New Roman"/>
          <w:sz w:val="24"/>
          <w:szCs w:val="24"/>
          <w:lang w:val="ru-RU"/>
        </w:rPr>
        <w:t>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B95326">
        <w:rPr>
          <w:rFonts w:ascii="Times New Roman" w:hAnsi="Times New Roman"/>
          <w:sz w:val="24"/>
          <w:szCs w:val="24"/>
          <w:lang w:val="ru-RU"/>
        </w:rPr>
        <w:t>57,48</w:t>
      </w:r>
      <w:r w:rsidRPr="00CC6344">
        <w:rPr>
          <w:rFonts w:ascii="Times New Roman" w:hAnsi="Times New Roman"/>
          <w:sz w:val="24"/>
          <w:szCs w:val="24"/>
        </w:rPr>
        <w:t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B95326">
        <w:t>62,4</w:t>
      </w:r>
      <w:r w:rsidRPr="00CC6344">
        <w:t>% всего жилого фонда района.</w:t>
      </w:r>
      <w:r w:rsidR="00B95326">
        <w:t xml:space="preserve"> </w:t>
      </w:r>
      <w:r w:rsidR="00B95326" w:rsidRPr="00E46AED">
        <w:t>Общая протяжённость водопроводных сетей составляет – 101,29 км.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</w:t>
      </w:r>
      <w:r w:rsidRPr="00CC6344">
        <w:lastRenderedPageBreak/>
        <w:t>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lastRenderedPageBreak/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lastRenderedPageBreak/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8653B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906E9">
        <w:t>2014 год – 48031,9 тыс. рублей;</w:t>
      </w:r>
      <w:r w:rsidR="00B8653B">
        <w:t xml:space="preserve">                          </w:t>
      </w:r>
      <w:r w:rsidR="000906E9" w:rsidRPr="000906E9">
        <w:t xml:space="preserve"> </w:t>
      </w:r>
      <w:r w:rsidR="00C82129" w:rsidRPr="000906E9">
        <w:t>2022</w:t>
      </w:r>
      <w:r w:rsidR="00081DA0" w:rsidRPr="000906E9">
        <w:t xml:space="preserve"> год -</w:t>
      </w:r>
      <w:r w:rsidR="004D2B1A" w:rsidRPr="000906E9">
        <w:t xml:space="preserve"> </w:t>
      </w:r>
      <w:r w:rsidR="00081DA0" w:rsidRPr="000906E9">
        <w:t xml:space="preserve"> </w:t>
      </w:r>
      <w:r w:rsidR="00F515F6">
        <w:t>55</w:t>
      </w:r>
      <w:r w:rsidR="00A80412">
        <w:t xml:space="preserve">948,2 </w:t>
      </w:r>
      <w:r w:rsidR="00081DA0" w:rsidRPr="000906E9"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D756A3">
        <w:rPr>
          <w:rFonts w:ascii="Times New Roman" w:hAnsi="Times New Roman"/>
          <w:sz w:val="24"/>
          <w:szCs w:val="24"/>
        </w:rPr>
        <w:t xml:space="preserve">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</w:t>
      </w:r>
      <w:r w:rsidR="00B8653B">
        <w:rPr>
          <w:rFonts w:ascii="Times New Roman" w:hAnsi="Times New Roman"/>
          <w:sz w:val="24"/>
          <w:szCs w:val="24"/>
        </w:rPr>
        <w:t>0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</w:t>
      </w:r>
      <w:r w:rsidR="00D756A3">
        <w:rPr>
          <w:rFonts w:ascii="Times New Roman" w:hAnsi="Times New Roman"/>
          <w:sz w:val="24"/>
          <w:szCs w:val="24"/>
        </w:rPr>
        <w:t xml:space="preserve">  </w:t>
      </w:r>
      <w:r w:rsidRPr="000906E9">
        <w:rPr>
          <w:rFonts w:ascii="Times New Roman" w:hAnsi="Times New Roman"/>
          <w:sz w:val="24"/>
          <w:szCs w:val="24"/>
        </w:rPr>
        <w:t xml:space="preserve">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="00F01183">
        <w:rPr>
          <w:rFonts w:ascii="Times New Roman" w:hAnsi="Times New Roman"/>
          <w:sz w:val="24"/>
          <w:szCs w:val="24"/>
        </w:rPr>
        <w:t xml:space="preserve">2024 год </w:t>
      </w:r>
      <w:r w:rsidR="006B734F">
        <w:rPr>
          <w:rFonts w:ascii="Times New Roman" w:hAnsi="Times New Roman"/>
          <w:sz w:val="24"/>
          <w:szCs w:val="24"/>
        </w:rPr>
        <w:t>–</w:t>
      </w:r>
      <w:r w:rsidR="00F01183">
        <w:rPr>
          <w:rFonts w:ascii="Times New Roman" w:hAnsi="Times New Roman"/>
          <w:sz w:val="24"/>
          <w:szCs w:val="24"/>
        </w:rPr>
        <w:t xml:space="preserve"> </w:t>
      </w:r>
      <w:r w:rsidR="00223540">
        <w:rPr>
          <w:rFonts w:ascii="Times New Roman" w:hAnsi="Times New Roman"/>
          <w:sz w:val="24"/>
          <w:szCs w:val="24"/>
        </w:rPr>
        <w:t>69058,9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</w:t>
      </w:r>
      <w:r w:rsidR="007F3A6C">
        <w:t>15863,7</w:t>
      </w:r>
      <w:r w:rsidR="00E7692C" w:rsidRPr="000906E9">
        <w:t>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0,0 тыс. рублей</w:t>
      </w:r>
      <w:r w:rsidR="007F3A6C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  <w:r w:rsidR="007F3A6C">
        <w:t xml:space="preserve">                         </w:t>
      </w:r>
      <w:r w:rsidR="00D756A3">
        <w:t xml:space="preserve"> </w:t>
      </w:r>
      <w:r w:rsidR="007F3A6C">
        <w:t xml:space="preserve"> 2027 год -          0,0 тыс. рублей.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</w:t>
      </w:r>
      <w:r w:rsidR="00D756A3">
        <w:t xml:space="preserve"> </w:t>
      </w:r>
      <w:r w:rsidR="00081DA0" w:rsidRPr="001513DF">
        <w:t xml:space="preserve">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lastRenderedPageBreak/>
        <w:t>2017 год – 0,0 тыс. рублей;</w:t>
      </w:r>
      <w:r w:rsidR="00727F77" w:rsidRPr="001513DF">
        <w:tab/>
        <w:t xml:space="preserve">                            </w:t>
      </w:r>
      <w:r w:rsidR="00D756A3">
        <w:t xml:space="preserve"> </w:t>
      </w:r>
      <w:r w:rsidR="00727F77" w:rsidRPr="001513DF">
        <w:t xml:space="preserve">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</w:t>
      </w:r>
      <w:r w:rsidR="00D756A3">
        <w:t xml:space="preserve"> </w:t>
      </w:r>
      <w:r w:rsidR="0029384C" w:rsidRPr="001513DF">
        <w:t xml:space="preserve"> 2026 год -           0,0 тыс. рублей</w:t>
      </w:r>
      <w:r w:rsidR="00A23263">
        <w:t>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  <w:r w:rsidR="007F3A6C">
        <w:t xml:space="preserve">                             </w:t>
      </w:r>
      <w:r w:rsidR="00D756A3">
        <w:t xml:space="preserve"> </w:t>
      </w:r>
      <w:r w:rsidR="007F3A6C">
        <w:t>2027 год -           0,0 тыс.рублей.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</w:t>
      </w:r>
      <w:r w:rsidR="00A23263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  <w:r w:rsidR="007F3A6C">
        <w:t xml:space="preserve">                            2027 год -           0,0 тыс.рублей.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</w:t>
      </w:r>
      <w:r w:rsidR="00A23263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  <w:r w:rsidR="007F3A6C">
        <w:t xml:space="preserve">                          2027 год -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lastRenderedPageBreak/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</w:t>
      </w:r>
      <w:r w:rsidR="00AC1466">
        <w:rPr>
          <w:sz w:val="24"/>
          <w:szCs w:val="24"/>
          <w:lang w:val="ru-RU"/>
        </w:rPr>
        <w:t xml:space="preserve">   </w:t>
      </w:r>
      <w:r w:rsidR="00727F77">
        <w:rPr>
          <w:sz w:val="24"/>
          <w:szCs w:val="24"/>
          <w:lang w:val="ru-RU"/>
        </w:rPr>
        <w:t xml:space="preserve">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</w:t>
      </w:r>
      <w:r w:rsidR="007F3A6C">
        <w:rPr>
          <w:sz w:val="24"/>
          <w:szCs w:val="24"/>
          <w:lang w:val="ru-RU"/>
        </w:rPr>
        <w:t xml:space="preserve">- 2027 год – 100,0%                      </w:t>
      </w:r>
      <w:r w:rsidR="00784426">
        <w:rPr>
          <w:sz w:val="24"/>
          <w:szCs w:val="24"/>
          <w:lang w:val="ru-RU"/>
        </w:rPr>
        <w:t>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</w:t>
      </w:r>
      <w:r w:rsidR="007F3A6C">
        <w:rPr>
          <w:sz w:val="24"/>
          <w:szCs w:val="24"/>
          <w:lang w:val="ru-RU"/>
        </w:rPr>
        <w:t xml:space="preserve">- 2027 год – 70,0%                         </w:t>
      </w:r>
      <w:r w:rsidR="00784426">
        <w:rPr>
          <w:sz w:val="24"/>
          <w:szCs w:val="24"/>
          <w:lang w:val="ru-RU"/>
        </w:rPr>
        <w:t>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</w:t>
      </w:r>
      <w:r w:rsidR="00D756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</w:t>
      </w:r>
      <w:r w:rsidR="00784426">
        <w:rPr>
          <w:sz w:val="24"/>
          <w:szCs w:val="24"/>
          <w:lang w:val="ru-RU"/>
        </w:rPr>
        <w:t xml:space="preserve">   </w:t>
      </w:r>
      <w:r w:rsidR="007F3A6C">
        <w:rPr>
          <w:sz w:val="24"/>
          <w:szCs w:val="24"/>
          <w:lang w:val="ru-RU"/>
        </w:rPr>
        <w:t xml:space="preserve">- 2027 год – 100,0 %        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7F3A6C">
        <w:t xml:space="preserve">- 2027 год - </w:t>
      </w:r>
      <w:r w:rsidR="007F3A6C" w:rsidRPr="004C6563">
        <w:t>35,0 кг у.т/тыс. рублей</w:t>
      </w:r>
      <w:r w:rsidR="00A23263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  <w:r w:rsidR="007F3A6C" w:rsidRPr="007F3A6C">
        <w:t xml:space="preserve"> </w:t>
      </w:r>
      <w:r w:rsidR="007F3A6C">
        <w:t xml:space="preserve">                </w:t>
      </w:r>
      <w:r w:rsidR="007F3A6C" w:rsidRPr="004C6563">
        <w:t>- 20</w:t>
      </w:r>
      <w:r w:rsidR="007F3A6C">
        <w:t>30</w:t>
      </w:r>
      <w:r w:rsidR="007F3A6C" w:rsidRPr="004C6563">
        <w:t xml:space="preserve"> год – 35,0 кг у.т/тыс. рублей</w:t>
      </w:r>
      <w:r w:rsidR="007F3A6C">
        <w:t>.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</w:t>
      </w:r>
      <w:r w:rsidR="00B8653B">
        <w:t>899,4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</w:t>
      </w:r>
      <w:r w:rsidR="00A23263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  <w:r w:rsidR="007F3A6C">
        <w:t xml:space="preserve">                                2027 год -          0,0 тыс. рублей.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lastRenderedPageBreak/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F3A6C" w:rsidRPr="00CC6344" w:rsidRDefault="007F3A6C" w:rsidP="007F3A6C">
      <w:pPr>
        <w:pStyle w:val="af0"/>
        <w:overflowPunct w:val="0"/>
        <w:jc w:val="both"/>
      </w:pPr>
      <w:r w:rsidRPr="00CC6344">
        <w:t>202</w:t>
      </w:r>
      <w:r>
        <w:t>7</w:t>
      </w:r>
      <w:r w:rsidRPr="00CC6344">
        <w:t xml:space="preserve"> год:</w:t>
      </w:r>
    </w:p>
    <w:p w:rsidR="007F3A6C" w:rsidRPr="00CC6344" w:rsidRDefault="007F3A6C" w:rsidP="007F3A6C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F3A6C" w:rsidRPr="00CC6344" w:rsidRDefault="007F3A6C" w:rsidP="007F3A6C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BC46FF" w:rsidP="005025C6">
      <w:pPr>
        <w:pStyle w:val="af0"/>
        <w:ind w:left="-284" w:hanging="142"/>
        <w:jc w:val="both"/>
      </w:pPr>
      <w:r>
        <w:t xml:space="preserve">           2014 год — 8601,3</w:t>
      </w:r>
      <w:r w:rsidR="005025C6">
        <w:t xml:space="preserve"> тыс. рублей;                       </w:t>
      </w:r>
      <w:r w:rsidR="005025C6" w:rsidRPr="00EA7566">
        <w:t xml:space="preserve">2020 год — </w:t>
      </w:r>
      <w:r w:rsidR="005025C6">
        <w:t>8505,2</w:t>
      </w:r>
      <w:r w:rsidR="005025C6" w:rsidRPr="00EA7566">
        <w:t xml:space="preserve"> тыс. рублей;</w:t>
      </w:r>
      <w:r w:rsidR="005025C6"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223540">
        <w:t>16339,6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7F3A6C">
        <w:t>13620,0</w:t>
      </w:r>
      <w:r w:rsidR="00086114">
        <w:t xml:space="preserve"> </w:t>
      </w:r>
      <w:r w:rsidR="00913C22" w:rsidRPr="001513DF">
        <w:t>тыс. рублей;</w:t>
      </w:r>
    </w:p>
    <w:p w:rsidR="00F03515" w:rsidRDefault="00913C22" w:rsidP="00F03515">
      <w:pPr>
        <w:pStyle w:val="af0"/>
        <w:overflowPunct w:val="0"/>
        <w:jc w:val="both"/>
      </w:pPr>
      <w:r w:rsidRPr="001513DF">
        <w:t xml:space="preserve">    2026 год </w:t>
      </w:r>
      <w:r w:rsidR="00086114">
        <w:t xml:space="preserve">– </w:t>
      </w:r>
      <w:r w:rsidR="007F3A6C">
        <w:t xml:space="preserve"> 17298,6</w:t>
      </w:r>
      <w:r w:rsidRPr="001513DF">
        <w:t xml:space="preserve"> тыс. ру</w:t>
      </w:r>
      <w:r w:rsidR="007F3A6C">
        <w:t>блей;</w:t>
      </w:r>
    </w:p>
    <w:p w:rsidR="007F3A6C" w:rsidRPr="001513DF" w:rsidRDefault="007F3A6C" w:rsidP="00F03515">
      <w:pPr>
        <w:pStyle w:val="af0"/>
        <w:overflowPunct w:val="0"/>
        <w:jc w:val="both"/>
      </w:pPr>
      <w:r>
        <w:t xml:space="preserve">    2027 год  -  17298,6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833858">
        <w:t>18438,0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7F3A6C">
        <w:t>9517,2</w:t>
      </w:r>
      <w:r w:rsidR="00F50756">
        <w:t xml:space="preserve"> </w:t>
      </w:r>
      <w:r w:rsidR="00BF462D">
        <w:t>тыс. рублей;</w:t>
      </w:r>
    </w:p>
    <w:p w:rsidR="00BF462D" w:rsidRDefault="00BF462D" w:rsidP="004C6563">
      <w:pPr>
        <w:pStyle w:val="af0"/>
        <w:tabs>
          <w:tab w:val="left" w:pos="804"/>
        </w:tabs>
      </w:pPr>
      <w:r w:rsidRPr="001513DF">
        <w:t xml:space="preserve">            </w:t>
      </w:r>
      <w:r w:rsidR="00747894">
        <w:t xml:space="preserve">2026 год – </w:t>
      </w:r>
      <w:r w:rsidR="007F3A6C">
        <w:t>9517,2</w:t>
      </w:r>
      <w:r w:rsidRPr="001513DF">
        <w:t xml:space="preserve"> тыс. рублей</w:t>
      </w:r>
      <w:r w:rsidR="00A23263">
        <w:t>;</w:t>
      </w:r>
    </w:p>
    <w:p w:rsidR="007F3A6C" w:rsidRPr="001513DF" w:rsidRDefault="007F3A6C" w:rsidP="004C6563">
      <w:pPr>
        <w:pStyle w:val="af0"/>
        <w:tabs>
          <w:tab w:val="left" w:pos="804"/>
        </w:tabs>
        <w:rPr>
          <w:b/>
        </w:rPr>
      </w:pPr>
      <w:r>
        <w:t xml:space="preserve">            2027 год –  9517,2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возмещения населением затрат на предоставление жилищно-коммунальных услуг по установленным для </w:t>
      </w:r>
      <w:r w:rsidR="002B5B21">
        <w:rPr>
          <w:rFonts w:ascii="Times New Roman" w:hAnsi="Times New Roman"/>
          <w:sz w:val="24"/>
          <w:szCs w:val="24"/>
        </w:rPr>
        <w:t>населения тарифам составил в 2024</w:t>
      </w:r>
      <w:r>
        <w:rPr>
          <w:rFonts w:ascii="Times New Roman" w:hAnsi="Times New Roman"/>
          <w:sz w:val="24"/>
          <w:szCs w:val="24"/>
        </w:rPr>
        <w:t>г не более 8</w:t>
      </w:r>
      <w:r w:rsidR="002B5B2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E46AE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E46AED">
        <w:t>Законом Красноярского края от 01.12.2014 № 7-2835 «Об отдельных мерах по обеспечению ограничения платы граждан за коммунальные услуги»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E46AE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E46AED">
        <w:t xml:space="preserve">Осуществление </w:t>
      </w:r>
      <w:r w:rsidR="00AC1466" w:rsidRPr="00E46AED">
        <w:t>отдельных мер по обеспечению ограничения платы граждан за коммунальные услуги</w:t>
      </w:r>
      <w:r w:rsidRPr="00E46AED">
        <w:t xml:space="preserve"> осуществляется органами местного самоуправления в соответствии с Законом края от 01.12.2014 № 7-283</w:t>
      </w:r>
      <w:r w:rsidR="00AC1466" w:rsidRPr="00E46AED">
        <w:t>5</w:t>
      </w:r>
      <w:r w:rsidRPr="00E46AED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E46AED">
        <w:t xml:space="preserve">Потребность в средствах на реализацию  мер </w:t>
      </w:r>
      <w:r w:rsidR="00AC1466" w:rsidRPr="00E46AED">
        <w:t>по обеспечению ограничения платы граждан за коммунальные услуги</w:t>
      </w:r>
      <w:r w:rsidRPr="00E46AED">
        <w:t xml:space="preserve">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582570">
        <w:t>365458,0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223540">
        <w:t>33000,0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 xml:space="preserve">2025 год –  </w:t>
      </w:r>
      <w:r w:rsidR="007F3A6C">
        <w:t>31693,4</w:t>
      </w:r>
      <w:r w:rsidR="00BF462D">
        <w:t xml:space="preserve"> тыс. рублей;</w:t>
      </w:r>
    </w:p>
    <w:p w:rsidR="00BF462D" w:rsidRDefault="00BF462D" w:rsidP="004C6563">
      <w:pPr>
        <w:pStyle w:val="af0"/>
        <w:tabs>
          <w:tab w:val="left" w:pos="804"/>
        </w:tabs>
      </w:pPr>
      <w:r w:rsidRPr="001513DF">
        <w:t xml:space="preserve">            </w:t>
      </w:r>
      <w:r w:rsidR="007F3A6C">
        <w:t>2026 год –  31693,4 тыс. рублей;</w:t>
      </w:r>
    </w:p>
    <w:p w:rsidR="007F3A6C" w:rsidRDefault="007F3A6C" w:rsidP="004C6563">
      <w:pPr>
        <w:pStyle w:val="af0"/>
        <w:tabs>
          <w:tab w:val="left" w:pos="804"/>
        </w:tabs>
      </w:pPr>
      <w:r>
        <w:t xml:space="preserve">            2027 год –  31693,4 тыс. рублей.</w:t>
      </w:r>
    </w:p>
    <w:p w:rsidR="00683692" w:rsidRPr="001513DF" w:rsidRDefault="00683692" w:rsidP="004C6563">
      <w:pPr>
        <w:pStyle w:val="af0"/>
        <w:tabs>
          <w:tab w:val="left" w:pos="804"/>
        </w:tabs>
      </w:pP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</w:t>
      </w:r>
      <w:r w:rsidRPr="00CC6344">
        <w:lastRenderedPageBreak/>
        <w:t xml:space="preserve">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547"/>
        <w:gridCol w:w="973"/>
        <w:gridCol w:w="979"/>
        <w:gridCol w:w="415"/>
        <w:gridCol w:w="142"/>
        <w:gridCol w:w="425"/>
        <w:gridCol w:w="284"/>
        <w:gridCol w:w="283"/>
        <w:gridCol w:w="568"/>
        <w:gridCol w:w="6"/>
        <w:gridCol w:w="28"/>
        <w:gridCol w:w="391"/>
        <w:gridCol w:w="142"/>
        <w:gridCol w:w="6"/>
        <w:gridCol w:w="33"/>
        <w:gridCol w:w="528"/>
        <w:gridCol w:w="6"/>
        <w:gridCol w:w="38"/>
        <w:gridCol w:w="523"/>
        <w:gridCol w:w="6"/>
        <w:gridCol w:w="43"/>
        <w:gridCol w:w="524"/>
        <w:gridCol w:w="48"/>
        <w:gridCol w:w="523"/>
        <w:gridCol w:w="49"/>
        <w:gridCol w:w="521"/>
        <w:gridCol w:w="51"/>
        <w:gridCol w:w="661"/>
        <w:gridCol w:w="53"/>
        <w:gridCol w:w="517"/>
        <w:gridCol w:w="55"/>
        <w:gridCol w:w="515"/>
        <w:gridCol w:w="57"/>
        <w:gridCol w:w="714"/>
        <w:gridCol w:w="572"/>
        <w:gridCol w:w="301"/>
        <w:gridCol w:w="267"/>
        <w:gridCol w:w="236"/>
        <w:gridCol w:w="236"/>
        <w:gridCol w:w="95"/>
        <w:gridCol w:w="141"/>
        <w:gridCol w:w="236"/>
        <w:gridCol w:w="473"/>
        <w:gridCol w:w="519"/>
        <w:gridCol w:w="332"/>
        <w:gridCol w:w="1134"/>
        <w:gridCol w:w="727"/>
      </w:tblGrid>
      <w:tr w:rsidR="005910D1" w:rsidTr="00DF1357">
        <w:trPr>
          <w:trHeight w:val="3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8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0D1" w:rsidRPr="00675A9C" w:rsidRDefault="005910D1" w:rsidP="005910D1">
            <w:pPr>
              <w:ind w:right="-1100"/>
              <w:jc w:val="center"/>
              <w:rPr>
                <w:color w:val="000000"/>
              </w:rPr>
            </w:pPr>
          </w:p>
          <w:p w:rsidR="005910D1" w:rsidRPr="00675A9C" w:rsidRDefault="005910D1" w:rsidP="005910D1">
            <w:pPr>
              <w:ind w:right="-1100"/>
              <w:jc w:val="center"/>
              <w:rPr>
                <w:color w:val="000000"/>
              </w:rPr>
            </w:pPr>
          </w:p>
          <w:p w:rsidR="005910D1" w:rsidRPr="00675A9C" w:rsidRDefault="005910D1" w:rsidP="005910D1">
            <w:pPr>
              <w:ind w:right="-1100"/>
              <w:jc w:val="center"/>
              <w:rPr>
                <w:color w:val="000000"/>
              </w:rPr>
            </w:pPr>
            <w:r w:rsidRPr="00675A9C">
              <w:rPr>
                <w:color w:val="000000"/>
              </w:rPr>
              <w:t>Приложение №1</w:t>
            </w:r>
          </w:p>
          <w:p w:rsidR="005910D1" w:rsidRPr="003161F6" w:rsidRDefault="005910D1" w:rsidP="005910D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3161F6">
              <w:rPr>
                <w:rFonts w:ascii="Times New Roman" w:hAnsi="Times New Roman"/>
              </w:rPr>
              <w:t xml:space="preserve">к муниципальной программе Ачинского </w:t>
            </w:r>
            <w:r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>йона</w:t>
            </w:r>
          </w:p>
          <w:p w:rsidR="005910D1" w:rsidRDefault="005910D1" w:rsidP="005910D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3161F6">
              <w:rPr>
                <w:rFonts w:ascii="Times New Roman" w:hAnsi="Times New Roman"/>
              </w:rPr>
              <w:t>«Реформирование и модернизация жилищно –</w:t>
            </w:r>
          </w:p>
          <w:p w:rsidR="005910D1" w:rsidRPr="003161F6" w:rsidRDefault="005910D1" w:rsidP="005910D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5910D1" w:rsidRPr="00675A9C" w:rsidRDefault="005910D1" w:rsidP="00145C70">
            <w:pPr>
              <w:ind w:right="-1100"/>
              <w:jc w:val="center"/>
              <w:rPr>
                <w:color w:val="000000"/>
              </w:rPr>
            </w:pPr>
            <w:r>
              <w:t xml:space="preserve">                        </w:t>
            </w:r>
            <w:r w:rsidRPr="003161F6">
              <w:t>энергетической эффективности»</w:t>
            </w:r>
          </w:p>
        </w:tc>
      </w:tr>
      <w:tr w:rsidR="005910D1" w:rsidTr="00DF1357">
        <w:trPr>
          <w:trHeight w:val="3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Pr="00746E73" w:rsidRDefault="005910D1" w:rsidP="005910D1">
            <w:pPr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D1" w:rsidRPr="00AA418A" w:rsidRDefault="005910D1" w:rsidP="005910D1">
            <w:pPr>
              <w:rPr>
                <w:color w:val="000000"/>
                <w:sz w:val="20"/>
                <w:szCs w:val="20"/>
              </w:rPr>
            </w:pPr>
          </w:p>
        </w:tc>
      </w:tr>
      <w:tr w:rsidR="005910D1" w:rsidTr="00DF1357">
        <w:trPr>
          <w:trHeight w:val="3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Pr="00AA418A" w:rsidRDefault="005910D1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Pr="00AA418A" w:rsidRDefault="005910D1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0D1" w:rsidRDefault="005910D1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D1" w:rsidRDefault="005910D1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5910D1" w:rsidTr="00F10529">
        <w:trPr>
          <w:gridAfter w:val="1"/>
          <w:wAfter w:w="727" w:type="dxa"/>
          <w:trHeight w:val="661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9F6FFC" w:rsidRDefault="005910D1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год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910D1">
            <w:pPr>
              <w:rPr>
                <w:sz w:val="12"/>
                <w:szCs w:val="12"/>
              </w:rPr>
            </w:pPr>
          </w:p>
          <w:p w:rsidR="005910D1" w:rsidRPr="009F6FFC" w:rsidRDefault="005910D1" w:rsidP="005910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2"/>
                <w:szCs w:val="12"/>
              </w:rPr>
            </w:pPr>
          </w:p>
          <w:p w:rsidR="005910D1" w:rsidRPr="009F6FFC" w:rsidRDefault="005910D1" w:rsidP="007A7D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9F6FFC" w:rsidRDefault="005910D1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5910D1" w:rsidTr="00F10529">
        <w:trPr>
          <w:gridAfter w:val="1"/>
          <w:wAfter w:w="727" w:type="dxa"/>
          <w:trHeight w:val="13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D1" w:rsidRPr="009F6FFC" w:rsidRDefault="005910D1" w:rsidP="000949A9">
            <w:pPr>
              <w:rPr>
                <w:sz w:val="12"/>
                <w:szCs w:val="12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D1" w:rsidRPr="009F6FFC" w:rsidRDefault="005910D1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D1" w:rsidRPr="009F6FFC" w:rsidRDefault="005910D1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D1" w:rsidRPr="009F6FFC" w:rsidRDefault="005910D1" w:rsidP="000949A9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573363" w:rsidRDefault="005910D1" w:rsidP="003161F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573363" w:rsidRDefault="005910D1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5910D1" w:rsidRPr="00D316CA" w:rsidTr="00F10529">
        <w:trPr>
          <w:gridAfter w:val="1"/>
          <w:wAfter w:w="727" w:type="dxa"/>
          <w:trHeight w:val="13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Default="005910D1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Default="005910D1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Default="005910D1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C8693A" w:rsidRDefault="005910D1" w:rsidP="005910D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</w:tr>
      <w:tr w:rsidR="00DF1357" w:rsidTr="00F10529">
        <w:trPr>
          <w:gridAfter w:val="4"/>
          <w:wAfter w:w="2712" w:type="dxa"/>
          <w:trHeight w:val="481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1357" w:rsidRDefault="00DF1357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DF1357" w:rsidRPr="00AA1D3D" w:rsidRDefault="00DF1357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DF1357" w:rsidTr="00F10529">
        <w:trPr>
          <w:gridAfter w:val="4"/>
          <w:wAfter w:w="2712" w:type="dxa"/>
          <w:trHeight w:val="271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DF1357" w:rsidTr="00F10529">
        <w:trPr>
          <w:gridAfter w:val="4"/>
          <w:wAfter w:w="2712" w:type="dxa"/>
          <w:trHeight w:val="268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5910D1" w:rsidTr="00F10529">
        <w:trPr>
          <w:gridAfter w:val="1"/>
          <w:wAfter w:w="727" w:type="dxa"/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0D1" w:rsidRPr="00F132D1" w:rsidRDefault="005910D1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5910D1" w:rsidRPr="00F132D1" w:rsidRDefault="005910D1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5910D1" w:rsidTr="00F10529">
        <w:trPr>
          <w:gridAfter w:val="1"/>
          <w:wAfter w:w="727" w:type="dxa"/>
          <w:trHeight w:val="34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5910D1" w:rsidTr="00F10529">
        <w:trPr>
          <w:gridAfter w:val="1"/>
          <w:wAfter w:w="727" w:type="dxa"/>
          <w:trHeight w:val="37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5910D1" w:rsidTr="00F10529">
        <w:trPr>
          <w:gridAfter w:val="1"/>
          <w:wAfter w:w="727" w:type="dxa"/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DF1357" w:rsidTr="00F10529">
        <w:trPr>
          <w:gridAfter w:val="4"/>
          <w:wAfter w:w="2712" w:type="dxa"/>
          <w:trHeight w:val="23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357" w:rsidRPr="00AA1D3D" w:rsidRDefault="00DF1357" w:rsidP="009147D9">
            <w:pPr>
              <w:rPr>
                <w:sz w:val="14"/>
                <w:szCs w:val="1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9147D9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9147D9">
            <w:pPr>
              <w:rPr>
                <w:sz w:val="14"/>
                <w:szCs w:val="14"/>
              </w:rPr>
            </w:pPr>
          </w:p>
        </w:tc>
        <w:tc>
          <w:tcPr>
            <w:tcW w:w="1071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5910D1" w:rsidTr="00F10529">
        <w:trPr>
          <w:gridAfter w:val="1"/>
          <w:wAfter w:w="727" w:type="dxa"/>
          <w:cantSplit/>
          <w:trHeight w:val="83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0D1" w:rsidRPr="00F132D1" w:rsidRDefault="005910D1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5910D1" w:rsidTr="00F10529">
        <w:trPr>
          <w:gridAfter w:val="1"/>
          <w:wAfter w:w="727" w:type="dxa"/>
          <w:trHeight w:val="47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0D1" w:rsidRPr="00F132D1" w:rsidRDefault="005910D1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5910D1" w:rsidTr="00F10529">
        <w:trPr>
          <w:gridAfter w:val="1"/>
          <w:wAfter w:w="727" w:type="dxa"/>
          <w:trHeight w:val="37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0D1" w:rsidRPr="00AA1D3D" w:rsidRDefault="005910D1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910D1" w:rsidRPr="00F132D1" w:rsidRDefault="005910D1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B749A5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5910D1" w:rsidTr="00F10529">
        <w:trPr>
          <w:gridAfter w:val="1"/>
          <w:wAfter w:w="727" w:type="dxa"/>
          <w:cantSplit/>
          <w:trHeight w:val="84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0D1" w:rsidRPr="00F132D1" w:rsidRDefault="005910D1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Default="005910D1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DF1357" w:rsidTr="00F10529">
        <w:trPr>
          <w:gridAfter w:val="4"/>
          <w:wAfter w:w="2712" w:type="dxa"/>
          <w:trHeight w:val="32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0D1" w:rsidRDefault="005910D1" w:rsidP="009147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Default="005910D1" w:rsidP="009147D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Default="005910D1" w:rsidP="009147D9">
            <w:pPr>
              <w:rPr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0D1" w:rsidRDefault="005910D1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5910D1" w:rsidTr="00F10529">
        <w:trPr>
          <w:gridAfter w:val="1"/>
          <w:wAfter w:w="727" w:type="dxa"/>
          <w:trHeight w:val="147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10D1" w:rsidRPr="00AA1D3D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D1" w:rsidRPr="00AA1D3D" w:rsidRDefault="005910D1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DF1357" w:rsidTr="00F10529">
        <w:trPr>
          <w:gridAfter w:val="1"/>
          <w:wAfter w:w="727" w:type="dxa"/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357" w:rsidRPr="00F132D1" w:rsidRDefault="00DF1357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DF1357" w:rsidRPr="00F132D1" w:rsidRDefault="00DF1357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DF1357" w:rsidTr="00F10529">
        <w:trPr>
          <w:gridAfter w:val="1"/>
          <w:wAfter w:w="727" w:type="dxa"/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DF1357" w:rsidTr="00F10529">
        <w:trPr>
          <w:gridAfter w:val="1"/>
          <w:wAfter w:w="727" w:type="dxa"/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DF1357" w:rsidTr="00F10529">
        <w:trPr>
          <w:gridAfter w:val="1"/>
          <w:wAfter w:w="727" w:type="dxa"/>
          <w:trHeight w:val="6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5910D1" w:rsidTr="00F10529">
        <w:trPr>
          <w:gridAfter w:val="1"/>
          <w:wAfter w:w="727" w:type="dxa"/>
          <w:trHeight w:val="375"/>
        </w:trPr>
        <w:tc>
          <w:tcPr>
            <w:tcW w:w="116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0D1" w:rsidRPr="00AA1D3D" w:rsidRDefault="005910D1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AA1D3D" w:rsidRDefault="005910D1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0D1" w:rsidRPr="00AA1D3D" w:rsidRDefault="005910D1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DF1357" w:rsidTr="00F10529">
        <w:trPr>
          <w:gridAfter w:val="4"/>
          <w:wAfter w:w="2712" w:type="dxa"/>
          <w:trHeight w:val="37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357" w:rsidRPr="00AA1D3D" w:rsidRDefault="00DF1357" w:rsidP="009147D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9147D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7" w:rsidRPr="00AA1D3D" w:rsidRDefault="00DF1357" w:rsidP="009147D9">
            <w:pPr>
              <w:rPr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57" w:rsidRPr="007F05A4" w:rsidRDefault="00DF1357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DF1357" w:rsidTr="00F10529">
        <w:trPr>
          <w:gridAfter w:val="1"/>
          <w:wAfter w:w="727" w:type="dxa"/>
          <w:cantSplit/>
          <w:trHeight w:val="91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DF1357" w:rsidTr="00F10529">
        <w:trPr>
          <w:gridAfter w:val="1"/>
          <w:wAfter w:w="727" w:type="dxa"/>
          <w:cantSplit/>
          <w:trHeight w:val="9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Default="00DF1357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Default="00DF1357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DF1357" w:rsidTr="00F10529">
        <w:trPr>
          <w:gridAfter w:val="1"/>
          <w:wAfter w:w="727" w:type="dxa"/>
          <w:cantSplit/>
          <w:trHeight w:val="8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DF1357" w:rsidTr="00F10529">
        <w:trPr>
          <w:gridAfter w:val="1"/>
          <w:wAfter w:w="727" w:type="dxa"/>
          <w:cantSplit/>
          <w:trHeight w:val="9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DF1357" w:rsidTr="00F10529">
        <w:trPr>
          <w:gridAfter w:val="4"/>
          <w:wAfter w:w="2712" w:type="dxa"/>
          <w:trHeight w:val="304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DD0B1F" w:rsidRDefault="005910D1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DD0B1F" w:rsidRDefault="005910D1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D1" w:rsidRPr="00DD0B1F" w:rsidRDefault="005910D1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D1" w:rsidRDefault="005910D1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DF1357" w:rsidTr="00F10529">
        <w:trPr>
          <w:gridAfter w:val="1"/>
          <w:wAfter w:w="727" w:type="dxa"/>
          <w:cantSplit/>
          <w:trHeight w:val="94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357" w:rsidRPr="00AA1D3D" w:rsidRDefault="00DF1357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1357" w:rsidRPr="009F6FFC" w:rsidRDefault="00DF1357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7" w:rsidRPr="00AA1D3D" w:rsidRDefault="00DF1357" w:rsidP="007A7D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DF1357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 xml:space="preserve">2020год-до 63%;   </w:t>
            </w:r>
            <w:r w:rsidR="00DF1357">
              <w:t xml:space="preserve">      2027 год – до 39%</w:t>
            </w:r>
            <w:r>
              <w:t xml:space="preserve">      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t>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DF1357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 xml:space="preserve">3,7 ед.;    </w:t>
            </w:r>
            <w:r w:rsidR="00DF1357">
              <w:t xml:space="preserve">    2027 год – до 3,0 ед.</w:t>
            </w:r>
            <w:r>
              <w:t xml:space="preserve"> 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t xml:space="preserve">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DF1357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</w:t>
            </w:r>
            <w:r w:rsidR="00DF1357">
              <w:t xml:space="preserve">   2027 год – до 18%</w:t>
            </w:r>
            <w:r>
              <w:t xml:space="preserve">   </w:t>
            </w:r>
          </w:p>
          <w:p w:rsidR="00F03515" w:rsidRDefault="0073188D" w:rsidP="000949A9">
            <w:pPr>
              <w:pStyle w:val="af0"/>
              <w:overflowPunct w:val="0"/>
              <w:jc w:val="both"/>
            </w:pPr>
            <w:r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A23263">
              <w:t>453186,3</w:t>
            </w:r>
          </w:p>
          <w:p w:rsidR="00F03515" w:rsidRPr="00B71A4B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 xml:space="preserve">тыс. руб.: </w:t>
            </w:r>
            <w:r w:rsidR="00F03515" w:rsidRPr="00B71A4B">
              <w:t xml:space="preserve">в том числе: </w:t>
            </w:r>
          </w:p>
          <w:p w:rsidR="00F03515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>краевой бюджет –</w:t>
            </w:r>
            <w:r w:rsidR="009B5E43" w:rsidRPr="00B71A4B">
              <w:t xml:space="preserve">   </w:t>
            </w:r>
            <w:r w:rsidR="006B734F" w:rsidRPr="00B71A4B">
              <w:t>301633,6</w:t>
            </w:r>
            <w:r w:rsidR="004747F2" w:rsidRPr="00B71A4B">
              <w:t xml:space="preserve"> </w:t>
            </w:r>
            <w:r w:rsidRPr="00B71A4B">
              <w:t>тыс.</w:t>
            </w:r>
            <w:r w:rsidR="009A4795" w:rsidRPr="00B71A4B">
              <w:t xml:space="preserve"> </w:t>
            </w:r>
            <w:r w:rsidRPr="00B71A4B">
              <w:t xml:space="preserve">руб.; </w:t>
            </w:r>
          </w:p>
          <w:p w:rsidR="00F03515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 xml:space="preserve">местный бюджет –  </w:t>
            </w:r>
            <w:r w:rsidR="00B71A4B" w:rsidRPr="00B71A4B">
              <w:t>135688,9</w:t>
            </w:r>
            <w:r w:rsidR="004747F2" w:rsidRPr="00B71A4B">
              <w:t xml:space="preserve"> </w:t>
            </w:r>
            <w:r w:rsidRPr="00B71A4B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 xml:space="preserve">(в т.ч. за счет средств </w:t>
            </w:r>
            <w:r w:rsidR="00DD7DC1">
              <w:lastRenderedPageBreak/>
              <w:t>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B8653B">
              <w:t>33803,0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t>12196,</w:t>
            </w:r>
            <w:r w:rsidR="00B8653B">
              <w:t>8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223540">
              <w:t>69058,9</w:t>
            </w:r>
            <w:r w:rsidRPr="008E4766">
              <w:t xml:space="preserve"> тыс. руб. (краевой бюджет -</w:t>
            </w:r>
            <w:r w:rsidR="006B734F">
              <w:t>46712,1</w:t>
            </w:r>
            <w:r w:rsidRPr="008E4766">
              <w:t xml:space="preserve"> тыс. руб.; местный бюджет –</w:t>
            </w:r>
            <w:r w:rsidR="00223540">
              <w:t>22346,8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DF1357" w:rsidRDefault="00DF1357" w:rsidP="00DF1357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7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F10529">
        <w:rPr>
          <w:rFonts w:eastAsia="Calibri"/>
        </w:rPr>
        <w:t>46,053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91483A" w:rsidRPr="00386E71">
        <w:rPr>
          <w:rFonts w:eastAsia="Calibri"/>
        </w:rPr>
        <w:t>23</w:t>
      </w:r>
      <w:r w:rsidR="0091483A">
        <w:rPr>
          <w:rFonts w:eastAsia="Calibri"/>
        </w:rPr>
        <w:t>,</w:t>
      </w:r>
      <w:r w:rsidR="0091483A" w:rsidRPr="0091483A">
        <w:rPr>
          <w:rFonts w:eastAsia="Calibri"/>
        </w:rPr>
        <w:t>832</w:t>
      </w:r>
      <w:r w:rsidR="0091483A">
        <w:rPr>
          <w:rFonts w:eastAsia="Calibri"/>
        </w:rPr>
        <w:t xml:space="preserve"> км</w:t>
      </w:r>
      <w:r w:rsidRPr="007A47CF">
        <w:t xml:space="preserve">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lastRenderedPageBreak/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2E7E8C">
        <w:rPr>
          <w:rFonts w:ascii="Times New Roman" w:hAnsi="Times New Roman"/>
          <w:sz w:val="24"/>
          <w:szCs w:val="24"/>
          <w:lang w:val="ru-RU"/>
        </w:rPr>
        <w:t xml:space="preserve">13,7 км (57,48%) </w:t>
      </w:r>
      <w:r w:rsidRPr="007A47CF">
        <w:rPr>
          <w:rFonts w:ascii="Times New Roman" w:hAnsi="Times New Roman"/>
          <w:sz w:val="24"/>
          <w:szCs w:val="24"/>
        </w:rPr>
        <w:t>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DF1357" w:rsidRPr="00276111">
        <w:rPr>
          <w:iCs/>
          <w:color w:val="FF0000"/>
        </w:rPr>
        <w:t>в 202</w:t>
      </w:r>
      <w:r w:rsidR="00DF1357">
        <w:rPr>
          <w:iCs/>
          <w:color w:val="FF0000"/>
        </w:rPr>
        <w:t>7</w:t>
      </w:r>
      <w:r w:rsidR="00DF1357" w:rsidRPr="00276111">
        <w:rPr>
          <w:iCs/>
          <w:color w:val="FF0000"/>
        </w:rPr>
        <w:t xml:space="preserve">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DF1357" w:rsidRPr="00276111">
        <w:rPr>
          <w:iCs/>
          <w:color w:val="FF0000"/>
        </w:rPr>
        <w:t>в 202</w:t>
      </w:r>
      <w:r w:rsidR="00DF1357">
        <w:rPr>
          <w:iCs/>
          <w:color w:val="FF0000"/>
        </w:rPr>
        <w:t>7</w:t>
      </w:r>
      <w:r w:rsidR="00DF1357" w:rsidRPr="00276111">
        <w:rPr>
          <w:iCs/>
          <w:color w:val="FF0000"/>
        </w:rPr>
        <w:t xml:space="preserve"> году – до 3,0ед</w:t>
      </w:r>
      <w:r w:rsidR="00DF1357">
        <w:rPr>
          <w:iCs/>
          <w:color w:val="FF0000"/>
        </w:rPr>
        <w:t>,</w:t>
      </w:r>
      <w:r w:rsidR="00DF1357">
        <w:rPr>
          <w:iCs/>
        </w:rPr>
        <w:t xml:space="preserve">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DF1357" w:rsidRPr="00276111">
        <w:rPr>
          <w:iCs/>
          <w:color w:val="FF0000"/>
        </w:rPr>
        <w:t>в 202</w:t>
      </w:r>
      <w:r w:rsidR="00DF1357">
        <w:rPr>
          <w:iCs/>
          <w:color w:val="FF0000"/>
        </w:rPr>
        <w:t>7</w:t>
      </w:r>
      <w:r w:rsidR="00DF1357" w:rsidRPr="00276111">
        <w:rPr>
          <w:iCs/>
          <w:color w:val="FF0000"/>
        </w:rPr>
        <w:t xml:space="preserve">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833858">
        <w:rPr>
          <w:sz w:val="24"/>
          <w:szCs w:val="24"/>
          <w:lang w:val="ru-RU"/>
        </w:rPr>
        <w:t>ЭнКом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lastRenderedPageBreak/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>«Реформирование и 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lastRenderedPageBreak/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="00005BE4">
        <w:rPr>
          <w:sz w:val="22"/>
          <w:szCs w:val="22"/>
        </w:rPr>
        <w:t xml:space="preserve">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872" w:type="pct"/>
        <w:tblLayout w:type="fixed"/>
        <w:tblLook w:val="04A0" w:firstRow="1" w:lastRow="0" w:firstColumn="1" w:lastColumn="0" w:noHBand="0" w:noVBand="1"/>
      </w:tblPr>
      <w:tblGrid>
        <w:gridCol w:w="461"/>
        <w:gridCol w:w="4187"/>
        <w:gridCol w:w="294"/>
        <w:gridCol w:w="699"/>
        <w:gridCol w:w="425"/>
        <w:gridCol w:w="431"/>
        <w:gridCol w:w="425"/>
        <w:gridCol w:w="428"/>
        <w:gridCol w:w="993"/>
        <w:gridCol w:w="993"/>
        <w:gridCol w:w="1121"/>
        <w:gridCol w:w="1006"/>
        <w:gridCol w:w="993"/>
        <w:gridCol w:w="993"/>
        <w:gridCol w:w="850"/>
        <w:gridCol w:w="853"/>
        <w:gridCol w:w="818"/>
      </w:tblGrid>
      <w:tr w:rsidR="00FD3C57" w:rsidRPr="00FD3C57" w:rsidTr="001B37D4">
        <w:trPr>
          <w:cantSplit/>
          <w:trHeight w:val="236"/>
        </w:trPr>
        <w:tc>
          <w:tcPr>
            <w:tcW w:w="144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11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219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35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43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1B37D4">
        <w:trPr>
          <w:cantSplit/>
          <w:trHeight w:val="652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4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</w:t>
            </w:r>
            <w:r w:rsidR="00DF1357">
              <w:rPr>
                <w:sz w:val="18"/>
                <w:szCs w:val="18"/>
              </w:rPr>
              <w:t>4</w:t>
            </w:r>
            <w:r w:rsidR="00276111" w:rsidRPr="00FD3C57">
              <w:rPr>
                <w:sz w:val="18"/>
                <w:szCs w:val="18"/>
              </w:rPr>
              <w:t xml:space="preserve">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76111" w:rsidRPr="00FD3C57" w:rsidRDefault="009E0CEE" w:rsidP="007A7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</w:t>
            </w:r>
            <w:r w:rsidR="007A7D6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7A7D64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7A7D64">
              <w:rPr>
                <w:sz w:val="18"/>
                <w:szCs w:val="18"/>
              </w:rPr>
              <w:t>7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7A7D64">
        <w:trPr>
          <w:cantSplit/>
          <w:trHeight w:val="397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5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7A7D64">
        <w:trPr>
          <w:cantSplit/>
          <w:trHeight w:val="118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21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5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1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7A7D64">
        <w:trPr>
          <w:cantSplit/>
          <w:trHeight w:val="403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7A7D64">
        <w:trPr>
          <w:cantSplit/>
          <w:trHeight w:val="41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7A7D64">
        <w:trPr>
          <w:cantSplit/>
          <w:trHeight w:val="84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7A7D64">
        <w:trPr>
          <w:cantSplit/>
          <w:trHeight w:val="347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1405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Поставка электродвигателя на для угольного транспортера в котельной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32,0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1398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дымососа ДН-11,2 в котельной в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150,0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47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11" w:type="pct"/>
            <w:vAlign w:val="center"/>
          </w:tcPr>
          <w:p w:rsidR="007A7D64" w:rsidRDefault="007A7D64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п.Горный, ул.Юбилейная</w:t>
            </w:r>
          </w:p>
          <w:p w:rsidR="005F526C" w:rsidRPr="008243CD" w:rsidRDefault="005F526C" w:rsidP="00CA2532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</w:tc>
        <w:tc>
          <w:tcPr>
            <w:tcW w:w="351" w:type="pct"/>
            <w:vAlign w:val="center"/>
          </w:tcPr>
          <w:p w:rsidR="007A7D64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47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11" w:type="pct"/>
            <w:vAlign w:val="center"/>
          </w:tcPr>
          <w:p w:rsidR="007A7D64" w:rsidRDefault="007A7D64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линии электропередач в д.Карловка, ул.Зеленая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351" w:type="pct"/>
            <w:vAlign w:val="center"/>
          </w:tcPr>
          <w:p w:rsidR="007A7D64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847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тепловой сети от ТК 15 до ТК 19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18785,3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189,84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881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4D7C34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 xml:space="preserve">Софинансирование на капитальный ремонт водопроводной по ул.Юбилейная от дома №1 до дома №11 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3474,4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35,17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1084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ДН-11,2 (замена электродвигателя) в котельной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169,5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795"/>
        </w:trPr>
        <w:tc>
          <w:tcPr>
            <w:tcW w:w="144" w:type="pct"/>
            <w:vAlign w:val="center"/>
          </w:tcPr>
          <w:p w:rsidR="007A7D64" w:rsidRPr="00FD3C57" w:rsidRDefault="006269BA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в котельной п.Горный, ул.Молодежная, 22В с заменой технологического оборудования (нория, экономайзер, циклон, дымососы)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9 999,4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A7D64" w:rsidRPr="008243CD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795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BD25B1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Капитальный ремонт трубопроводов ХВС в п.Ключи, ул.Кирова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100,0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984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4897,3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49,5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0D289F" w:rsidTr="007A7D64">
        <w:trPr>
          <w:cantSplit/>
          <w:trHeight w:val="984"/>
        </w:trPr>
        <w:tc>
          <w:tcPr>
            <w:tcW w:w="144" w:type="pct"/>
            <w:vAlign w:val="center"/>
          </w:tcPr>
          <w:p w:rsidR="007A7D64" w:rsidRPr="000D289F" w:rsidRDefault="006269BA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11" w:type="pct"/>
            <w:vAlign w:val="center"/>
          </w:tcPr>
          <w:p w:rsidR="007A7D64" w:rsidRPr="000D289F" w:rsidRDefault="007A7D64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п.Ключи, ул.Кирова, от ВК1 до ВК3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0D289F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1332,9</w:t>
            </w:r>
          </w:p>
        </w:tc>
        <w:tc>
          <w:tcPr>
            <w:tcW w:w="311" w:type="pct"/>
            <w:vAlign w:val="center"/>
          </w:tcPr>
          <w:p w:rsidR="007A7D64" w:rsidRPr="000D289F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</w:t>
            </w:r>
          </w:p>
        </w:tc>
        <w:tc>
          <w:tcPr>
            <w:tcW w:w="351" w:type="pct"/>
            <w:vAlign w:val="center"/>
          </w:tcPr>
          <w:p w:rsidR="007A7D64" w:rsidRPr="000D289F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0D289F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0D289F" w:rsidRDefault="007A7D64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0D289F" w:rsidRDefault="007A7D64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0D289F" w:rsidRDefault="007A7D64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0D289F" w:rsidRDefault="007A7D64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0D289F" w:rsidRDefault="007A7D64" w:rsidP="00A361D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1134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п.Ключи, ул.Ломолносова (левая сторона)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9987,1</w:t>
            </w: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1134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с заменой тепловой сети  п.Ключи, ул.Центральная, 2а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0D289F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9994,4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7A7D64" w:rsidRPr="008243CD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A361D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5513E5" w:rsidTr="007A7D64">
        <w:trPr>
          <w:cantSplit/>
          <w:trHeight w:val="1134"/>
        </w:trPr>
        <w:tc>
          <w:tcPr>
            <w:tcW w:w="144" w:type="pct"/>
            <w:vAlign w:val="center"/>
          </w:tcPr>
          <w:p w:rsidR="007A7D64" w:rsidRPr="005513E5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11" w:type="pct"/>
            <w:vAlign w:val="center"/>
          </w:tcPr>
          <w:p w:rsidR="007A7D64" w:rsidRPr="005513E5" w:rsidRDefault="007A7D64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водопроводной сети п.Тарутино, ул.Малиновая гора, от тепловой камеры у дома №7 до детского сада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5513E5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7A7D64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85,99</w:t>
            </w:r>
          </w:p>
        </w:tc>
        <w:tc>
          <w:tcPr>
            <w:tcW w:w="351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5513E5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5513E5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5513E5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9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№1 с установкой электродвигателя п.тарутино, пер Клубный8б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4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</w:t>
            </w:r>
            <w:r>
              <w:rPr>
                <w:sz w:val="16"/>
                <w:szCs w:val="16"/>
              </w:rPr>
              <w:t>№2</w:t>
            </w:r>
            <w:r w:rsidRPr="008243CD">
              <w:rPr>
                <w:sz w:val="16"/>
                <w:szCs w:val="16"/>
              </w:rPr>
              <w:t>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3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9F6E73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с установкой электродвигателя п.Тарутино, </w:t>
            </w:r>
            <w:r>
              <w:rPr>
                <w:sz w:val="16"/>
                <w:szCs w:val="16"/>
              </w:rPr>
              <w:t>кв. 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2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п.Тарутино,кв. заводской, 6 с заменой технологического оборудования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28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изоляции разводящего трубопровода ХВС водонапорной башни с.Покровка, ул.Центральная, 24в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78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капитальный ремонт водопроводной сети п.Тарутино, ул.Горная, от водонапорной башни до ВК-5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6232,4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62,99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78"/>
        </w:trPr>
        <w:tc>
          <w:tcPr>
            <w:tcW w:w="144" w:type="pct"/>
            <w:vAlign w:val="center"/>
          </w:tcPr>
          <w:p w:rsidR="007A7D64" w:rsidRDefault="006269BA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A361D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котельной в П.Б.Яр, ул.МПС, 1а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808,9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7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павильона скважины в с.Б.Яр, ул. 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431,817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8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1B3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п.Б.Яр, ул.МПС, 1а с заменой технологического оборудования (дымосос ДН-9 левы)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44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в п.Б.Яр, ул.Школьная,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64,7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44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в с.Б.Яр, ул.Набережная, напротив дома №3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26</w:t>
            </w:r>
          </w:p>
        </w:tc>
        <w:tc>
          <w:tcPr>
            <w:tcW w:w="1311" w:type="pct"/>
            <w:vAlign w:val="center"/>
          </w:tcPr>
          <w:p w:rsidR="007A7D64" w:rsidRDefault="007A7D6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электрооборудования вентиляции котельной п.Б.Яр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 с заменой технологического оборудования (котел кВр 1,16 МВт)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3156,6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11" w:type="pct"/>
            <w:vAlign w:val="center"/>
          </w:tcPr>
          <w:p w:rsidR="007A7D64" w:rsidRDefault="007A7D6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с.Б.Яр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872,3</w:t>
            </w: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п.Б.Яр, ул.МПС, зд.1а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AE1C46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AE1C46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6A6C92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тепловой изоляции тепловой сети от здания котельной (компенсатора) ул. Школьная,  до здания школы, ул. Щетинкина, п. 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301,63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0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Приобретение агрегатов ЭЦВ (глубинных насосов) для населённых пунктов на территории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919,1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5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F2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кровли котельной в п.Причулымский, ул.Просвещения, 19а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179,11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06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CB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ДН-9 с заменой эл.двигателя и рабочего колеса (левый) на котельной в с.Ястребово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159,0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06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Выполнение работ по технической диагностике обследования оборудования на территории Ачинского района (оценка и утилизация металлолома)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250,0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0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видеонаблюдения на котельные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14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Подготовка технического задания для разработки проектно-сметной документации на строительство твердотопливной котельной в дер.Каменка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468,7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C07A7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7427,19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908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37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п.Березовый, от ВК перекрестка ул.Центральная – ул.Новая до ВК напротив дома №4 по ул.Новая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Разработка проектно-сметной документации на строительство твердотопливной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B26D63" w:rsidRDefault="007A7D64" w:rsidP="007A7D64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10000,00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B26D63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311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Софинансирование </w:t>
            </w:r>
            <w:r w:rsidR="006269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капитальных ремонтов тепловых и водопроводных сетей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B26D63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279,5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B26D63" w:rsidRDefault="00312F73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659,4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Ремонт технологического оборудования (замена рабочего колеса, подшипников на электродвигателе 45/100 дымососа ДН-11,2) в котельной п. Горный</w:t>
            </w:r>
          </w:p>
          <w:p w:rsidR="007C07A7" w:rsidRPr="006269BA" w:rsidRDefault="007C07A7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6269BA" w:rsidRDefault="007C07A7" w:rsidP="00223540">
            <w:pPr>
              <w:jc w:val="center"/>
              <w:rPr>
                <w:sz w:val="14"/>
                <w:szCs w:val="14"/>
              </w:rPr>
            </w:pPr>
            <w:r w:rsidRPr="006269BA">
              <w:rPr>
                <w:sz w:val="14"/>
                <w:szCs w:val="14"/>
              </w:rPr>
              <w:t>185,0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Проведение технического освидетельствования котельной п. Тарутино (здание, котлы, насосы, дымососы)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396,02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Капитальный ремонт трубопровода ХВС от котельной п. Тарутино, кв-л Заводской до ул. Малиновая гора</w:t>
            </w:r>
            <w:r w:rsidR="005F526C">
              <w:rPr>
                <w:color w:val="000000"/>
                <w:sz w:val="16"/>
                <w:szCs w:val="16"/>
              </w:rPr>
              <w:t xml:space="preserve"> – </w:t>
            </w:r>
            <w:r w:rsidR="005F526C" w:rsidRPr="00005BE4">
              <w:rPr>
                <w:color w:val="000000"/>
                <w:sz w:val="16"/>
                <w:szCs w:val="16"/>
                <w:highlight w:val="yellow"/>
              </w:rPr>
              <w:t>400метров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2369,9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Ремонт технологического оборудования (замена рабочего колеса, электродвигателя дымососа ДН-9/1500) в котельной п. Белый Яр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Капитальный ремонт водопроводной сети п. Ключи от ВК 7 до ВК 16</w:t>
            </w:r>
          </w:p>
          <w:p w:rsidR="007C07A7" w:rsidRPr="006269BA" w:rsidRDefault="005F526C" w:rsidP="005513E5">
            <w:pPr>
              <w:rPr>
                <w:b/>
                <w:sz w:val="16"/>
                <w:szCs w:val="16"/>
              </w:rPr>
            </w:pPr>
            <w:r w:rsidRPr="00005BE4">
              <w:rPr>
                <w:b/>
                <w:sz w:val="16"/>
                <w:szCs w:val="16"/>
                <w:highlight w:val="yellow"/>
              </w:rPr>
              <w:t>293метра</w:t>
            </w: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1515,0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Ремонт тепловой сети от здания КГБУ "Ачинский психоневрологический интернат" до ТК у въездных ворот с. Ястребово, ул. Новая, д.6</w:t>
            </w:r>
            <w:r w:rsidR="005F526C">
              <w:rPr>
                <w:color w:val="000000"/>
                <w:sz w:val="16"/>
                <w:szCs w:val="16"/>
              </w:rPr>
              <w:t xml:space="preserve"> (сеть не меняется, только земляные работы и гидроизоляция)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312F73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312F73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311" w:type="pct"/>
            <w:vAlign w:val="center"/>
          </w:tcPr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Ремонт дымососа ДН-11,2 в п. Причулымский (замена рабочего колеса и подшипников)</w:t>
            </w:r>
          </w:p>
          <w:p w:rsidR="00312F73" w:rsidRPr="006269BA" w:rsidRDefault="00312F73" w:rsidP="007C07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312F73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312F73" w:rsidRPr="008243CD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312F73" w:rsidRPr="008243CD" w:rsidRDefault="00312F73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312F73" w:rsidRDefault="00312F73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230,0</w:t>
            </w: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312F73" w:rsidRPr="00FD3C57" w:rsidRDefault="00312F73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Ремонт технологического оборудования (замена дымососа ДН-10/1500) в котельной с. Преображенка,ул. Центральная, 2В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48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Приобретение электродвигателя 3Квт/1500 и насоса КМ 80-65-160 в с. Преображ</w:t>
            </w:r>
            <w:r w:rsidR="006269BA">
              <w:rPr>
                <w:color w:val="000000"/>
                <w:sz w:val="16"/>
                <w:szCs w:val="16"/>
              </w:rPr>
              <w:t>ен</w:t>
            </w:r>
            <w:r w:rsidRPr="006269BA">
              <w:rPr>
                <w:color w:val="000000"/>
                <w:sz w:val="16"/>
                <w:szCs w:val="16"/>
              </w:rPr>
              <w:t xml:space="preserve">ка 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Проведение работ по измерению сопротивл</w:t>
            </w:r>
            <w:r w:rsidR="006269BA">
              <w:rPr>
                <w:color w:val="000000"/>
                <w:sz w:val="16"/>
                <w:szCs w:val="16"/>
              </w:rPr>
              <w:t>е</w:t>
            </w:r>
            <w:r w:rsidRPr="006269BA">
              <w:rPr>
                <w:color w:val="000000"/>
                <w:sz w:val="16"/>
                <w:szCs w:val="16"/>
              </w:rPr>
              <w:t>ния изоляции электропроводки в котельных (п. Горный, п. Причулымский, п. Ключи, п. Тарутино квл. Заводской, п. Тарутино пер. Клубный, с. Белый Яр, п. Белый Яр)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312F73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312F73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311" w:type="pct"/>
            <w:vAlign w:val="center"/>
          </w:tcPr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Капитальный ремонт тепловой сети п. Ключи (совместно с водопроводной сетью, спутником)</w:t>
            </w:r>
          </w:p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312F73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312F73" w:rsidRPr="008243CD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312F73" w:rsidRPr="008243CD" w:rsidRDefault="00312F73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312F73" w:rsidRDefault="00312F73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312F73" w:rsidRPr="00FD3C57" w:rsidRDefault="00312F73" w:rsidP="00FD3C57">
            <w:pPr>
              <w:rPr>
                <w:b/>
                <w:sz w:val="16"/>
                <w:szCs w:val="16"/>
              </w:rPr>
            </w:pPr>
          </w:p>
        </w:tc>
      </w:tr>
      <w:tr w:rsidR="00312F73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312F73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311" w:type="pct"/>
            <w:vAlign w:val="center"/>
          </w:tcPr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Капитальный ремонт водопроводной сети п. Березовый, от водонапорной башни до ВК-22 ул. Новая</w:t>
            </w:r>
          </w:p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(софинансирование)</w:t>
            </w:r>
          </w:p>
        </w:tc>
        <w:tc>
          <w:tcPr>
            <w:tcW w:w="92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312F73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312F73" w:rsidRPr="008243CD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312F73" w:rsidRPr="008243CD" w:rsidRDefault="00312F73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312F73" w:rsidRDefault="00312F73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86,95</w:t>
            </w: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312F73" w:rsidRPr="00FD3C57" w:rsidRDefault="00312F73" w:rsidP="00FD3C57">
            <w:pPr>
              <w:rPr>
                <w:b/>
                <w:sz w:val="16"/>
                <w:szCs w:val="16"/>
              </w:rPr>
            </w:pPr>
          </w:p>
        </w:tc>
      </w:tr>
      <w:tr w:rsidR="00312F73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312F73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311" w:type="pct"/>
            <w:vAlign w:val="center"/>
          </w:tcPr>
          <w:p w:rsidR="00312F73" w:rsidRPr="006269BA" w:rsidRDefault="00312F73" w:rsidP="00312F73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Приобретение агрегатов ЭЦВ (глубинных насосов) для населенных пунктов на территории Ачинского района</w:t>
            </w:r>
          </w:p>
          <w:p w:rsidR="00312F73" w:rsidRPr="006269BA" w:rsidRDefault="00312F73" w:rsidP="007C07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312F73" w:rsidRPr="008243CD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312F73" w:rsidRDefault="00312F73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312F73" w:rsidRPr="008243CD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Default="00312F73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312F73" w:rsidRPr="008243CD" w:rsidRDefault="00312F73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312F73" w:rsidRDefault="00312F73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538,3</w:t>
            </w: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312F73" w:rsidRPr="00FD3C57" w:rsidRDefault="00312F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312F73" w:rsidRPr="00FD3C57" w:rsidRDefault="00312F73" w:rsidP="00FD3C57">
            <w:pPr>
              <w:rPr>
                <w:b/>
                <w:sz w:val="16"/>
                <w:szCs w:val="16"/>
              </w:rPr>
            </w:pPr>
          </w:p>
        </w:tc>
      </w:tr>
      <w:tr w:rsidR="007C07A7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C07A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311" w:type="pct"/>
            <w:vAlign w:val="center"/>
          </w:tcPr>
          <w:p w:rsidR="007C07A7" w:rsidRPr="006269BA" w:rsidRDefault="007C07A7" w:rsidP="007C07A7">
            <w:pPr>
              <w:rPr>
                <w:color w:val="000000"/>
                <w:sz w:val="16"/>
                <w:szCs w:val="16"/>
              </w:rPr>
            </w:pPr>
            <w:r w:rsidRPr="006269BA">
              <w:rPr>
                <w:color w:val="000000"/>
                <w:sz w:val="16"/>
                <w:szCs w:val="16"/>
              </w:rPr>
              <w:t>Техническое освидетельствование металлических дымовых труб котельных Ачинского района: п. Горный, п. Причулымский, п. Ключи, п. Тарутино, с. Белый Яр, п. Белый Яр</w:t>
            </w:r>
          </w:p>
          <w:p w:rsidR="007C07A7" w:rsidRPr="006269BA" w:rsidRDefault="007C07A7" w:rsidP="005513E5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C07A7" w:rsidRPr="008243CD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C07A7" w:rsidRDefault="007C07A7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C07A7" w:rsidRPr="008243CD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Default="007C07A7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C07A7" w:rsidRPr="008243CD" w:rsidRDefault="007C07A7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C07A7" w:rsidRPr="00B26D63" w:rsidRDefault="007C07A7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1197,0</w:t>
            </w: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C07A7" w:rsidRPr="00FD3C57" w:rsidRDefault="007C07A7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C07A7" w:rsidRPr="00FD3C57" w:rsidRDefault="007C07A7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311" w:type="pct"/>
            <w:vAlign w:val="center"/>
          </w:tcPr>
          <w:p w:rsidR="007A7D64" w:rsidRPr="00FD3C57" w:rsidRDefault="007A7D64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водопроводных сетей от здания школы до ТК 1 ул. Медицинская, п.Причулымский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B26D63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94,1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B26D63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311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тепловой сети п.Причулымский, ул.Лесная, от д№5 до д.7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B26D63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B26D63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Pr="00FD3C57" w:rsidRDefault="006269BA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311" w:type="pct"/>
            <w:vAlign w:val="center"/>
          </w:tcPr>
          <w:p w:rsidR="007A7D64" w:rsidRPr="00FD3C57" w:rsidRDefault="007A7D64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Проведение государственной экспертизы на строительство твёрдотопливной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B26D63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3700,0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B26D63" w:rsidRDefault="007A7D6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876"/>
        </w:trPr>
        <w:tc>
          <w:tcPr>
            <w:tcW w:w="144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7A7D64" w:rsidRPr="008243CD" w:rsidRDefault="007A7D64" w:rsidP="00FD3C57">
            <w:pPr>
              <w:rPr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2" w:type="pct"/>
            <w:textDirection w:val="btLr"/>
            <w:vAlign w:val="bottom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7A7D64" w:rsidRPr="008243CD" w:rsidRDefault="007A7D6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</w:t>
            </w:r>
          </w:p>
        </w:tc>
        <w:tc>
          <w:tcPr>
            <w:tcW w:w="311" w:type="pct"/>
            <w:vAlign w:val="center"/>
          </w:tcPr>
          <w:p w:rsidR="007A7D64" w:rsidRPr="008243CD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22346,8</w:t>
            </w:r>
          </w:p>
        </w:tc>
        <w:tc>
          <w:tcPr>
            <w:tcW w:w="351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8243CD" w:rsidRDefault="007A7D6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15863,7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291"/>
        </w:trPr>
        <w:tc>
          <w:tcPr>
            <w:tcW w:w="144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2" w:type="pct"/>
            <w:textDirection w:val="btLr"/>
            <w:vAlign w:val="bottom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280"/>
        </w:trPr>
        <w:tc>
          <w:tcPr>
            <w:tcW w:w="144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2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46712,10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22346,8</w:t>
            </w:r>
          </w:p>
        </w:tc>
        <w:tc>
          <w:tcPr>
            <w:tcW w:w="351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15863,7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rPr>
                <w:sz w:val="16"/>
                <w:szCs w:val="16"/>
              </w:rPr>
            </w:pPr>
          </w:p>
        </w:tc>
      </w:tr>
      <w:tr w:rsidR="007A7D64" w:rsidRPr="00FD3C57" w:rsidTr="007A7D64">
        <w:trPr>
          <w:cantSplit/>
          <w:trHeight w:val="255"/>
        </w:trPr>
        <w:tc>
          <w:tcPr>
            <w:tcW w:w="144" w:type="pct"/>
            <w:vAlign w:val="center"/>
          </w:tcPr>
          <w:p w:rsidR="007A7D64" w:rsidRPr="00FD3C57" w:rsidRDefault="007A7D6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7A7D64" w:rsidRPr="00FD3C57" w:rsidRDefault="007A7D64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7A7D64" w:rsidRPr="00FD3C57" w:rsidRDefault="007A7D6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7A7D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5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7A7D64" w:rsidRPr="00FD3C57" w:rsidRDefault="007A7D64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7A7D64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7A7D64">
              <w:t>2027 год – до 41%;</w:t>
            </w:r>
          </w:p>
          <w:p w:rsidR="00F03515" w:rsidRDefault="002F4660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7A7D64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 xml:space="preserve">;            </w:t>
            </w:r>
            <w:r w:rsidR="007A7D64">
              <w:t xml:space="preserve"> 2027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D85BD9">
              <w:t>2026 год – до 8</w:t>
            </w:r>
            <w:r w:rsidR="00C176C0" w:rsidRPr="00D85BD9">
              <w:t>7</w:t>
            </w:r>
            <w:r w:rsidR="009E0CEE" w:rsidRPr="00D85BD9">
              <w:t>%;</w:t>
            </w:r>
          </w:p>
          <w:p w:rsidR="007A7D64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7A7D64" w:rsidRPr="00D85BD9">
              <w:t>202</w:t>
            </w:r>
            <w:r w:rsidR="007A7D64">
              <w:t>7</w:t>
            </w:r>
            <w:r w:rsidR="007A7D64" w:rsidRPr="00D85BD9">
              <w:t xml:space="preserve"> год – до 87%;</w:t>
            </w:r>
          </w:p>
          <w:p w:rsidR="00F03515" w:rsidRPr="00A7006F" w:rsidRDefault="002F4660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3A3328">
              <w:t>7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7D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7D64" w:rsidRPr="00D85B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7D64" w:rsidRPr="00D85BD9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 w:rsidR="007A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D64" w:rsidRDefault="007A7D64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263" w:rsidRPr="00A7006F" w:rsidRDefault="00A23263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0,0 тыс.рублей.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lastRenderedPageBreak/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 w:rsidR="006269BA">
        <w:rPr>
          <w:sz w:val="24"/>
          <w:szCs w:val="24"/>
          <w:lang w:val="ru-RU"/>
        </w:rPr>
        <w:t>101,29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E46A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</w:t>
      </w:r>
      <w:r w:rsidR="003F129C">
        <w:t>тву по гигиеническим нормативам</w:t>
      </w:r>
      <w:r w:rsidR="003F129C" w:rsidRPr="00E46AED">
        <w:t>, а именно: с. Большая Салырь, с. Преображенка, п. Тарутино,              п. Горный, п. Причулымский.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7A7D64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7A7D64">
        <w:t>2027 год – до 41%</w:t>
      </w:r>
    </w:p>
    <w:p w:rsidR="00F03515" w:rsidRDefault="007A7D64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7A7D64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7A7D64">
        <w:t>2027 год – до 3,0 ед</w:t>
      </w:r>
    </w:p>
    <w:p w:rsidR="00F03515" w:rsidRDefault="007A7D64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7A7D64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7A7D64">
        <w:t>2026 год – до 87%;</w:t>
      </w:r>
    </w:p>
    <w:p w:rsidR="00F03515" w:rsidRDefault="007A7D64" w:rsidP="00582570">
      <w:pPr>
        <w:autoSpaceDE w:val="0"/>
        <w:autoSpaceDN w:val="0"/>
        <w:adjustRightInd w:val="0"/>
        <w:ind w:firstLine="709"/>
      </w:pPr>
      <w:r>
        <w:t xml:space="preserve">           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  <w:r w:rsidR="00582570">
        <w:tab/>
        <w:t xml:space="preserve">                2027 год – до 87%;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2B0573">
        <w:rPr>
          <w:sz w:val="24"/>
          <w:szCs w:val="24"/>
          <w:lang w:val="ru-RU"/>
        </w:rPr>
        <w:t>ЭнКом</w:t>
      </w:r>
      <w:r w:rsidR="00F03515"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037549">
        <w:t>7</w:t>
      </w:r>
      <w:r w:rsidRPr="00A7006F">
        <w:t xml:space="preserve"> годы.</w:t>
      </w: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037549" w:rsidRPr="00E46AED" w:rsidRDefault="00037549" w:rsidP="00F03515">
      <w:pPr>
        <w:pStyle w:val="a7"/>
        <w:ind w:firstLine="709"/>
        <w:rPr>
          <w:sz w:val="24"/>
          <w:szCs w:val="24"/>
          <w:lang w:val="ru-RU"/>
        </w:rPr>
      </w:pPr>
      <w:r w:rsidRPr="00E46AED">
        <w:rPr>
          <w:sz w:val="24"/>
          <w:szCs w:val="24"/>
          <w:lang w:val="ru-RU"/>
        </w:rPr>
        <w:t xml:space="preserve">В связи с недостатком финансирования и дефицитом бюджета Ачинского района в 2025 году не запланировано финансирование на подпрограмму №2 «Чистая вода на территории Ачинского района». </w:t>
      </w:r>
    </w:p>
    <w:p w:rsidR="00F03515" w:rsidRPr="00E46AED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lastRenderedPageBreak/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A7D64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7A7D64" w:rsidRPr="008D7F14" w:rsidRDefault="007A7D64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7A7D64" w:rsidRPr="008D7F14" w:rsidRDefault="007A7D64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7A7D64" w:rsidRPr="008D7F14" w:rsidRDefault="007A7D64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A7D64" w:rsidRPr="008D7F14" w:rsidRDefault="007A7D64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7A7D64" w:rsidRPr="008D7F14" w:rsidRDefault="007A7D6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A7D64" w:rsidRPr="008D7F14" w:rsidRDefault="007A7D6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7A7D64" w:rsidRPr="008D7F14" w:rsidRDefault="007A7D6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A7D64" w:rsidRPr="008D7F14" w:rsidRDefault="007A7D64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7A7D64" w:rsidRPr="008D7F14" w:rsidRDefault="007A7D64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</w:t>
            </w:r>
            <w:r w:rsidRPr="008D7F14">
              <w:rPr>
                <w:color w:val="000000"/>
                <w:sz w:val="12"/>
                <w:szCs w:val="12"/>
              </w:rPr>
              <w:t>е</w:t>
            </w:r>
            <w:r>
              <w:rPr>
                <w:color w:val="000000"/>
                <w:sz w:val="12"/>
                <w:szCs w:val="12"/>
              </w:rPr>
              <w:t>т</w:t>
            </w:r>
            <w:r w:rsidRPr="008D7F14">
              <w:rPr>
                <w:color w:val="000000"/>
                <w:sz w:val="12"/>
                <w:szCs w:val="12"/>
              </w:rPr>
              <w:t>ной финансовый год</w:t>
            </w:r>
          </w:p>
          <w:p w:rsidR="007A7D64" w:rsidRPr="008D7F14" w:rsidRDefault="007A7D64" w:rsidP="00487048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7A7D64" w:rsidRPr="008D7F14" w:rsidRDefault="007A7D64" w:rsidP="002637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</w:t>
            </w:r>
            <w:r w:rsidRPr="008D7F14">
              <w:rPr>
                <w:color w:val="000000"/>
                <w:sz w:val="12"/>
                <w:szCs w:val="12"/>
              </w:rPr>
              <w:t>ной финансовый год</w:t>
            </w:r>
          </w:p>
          <w:p w:rsidR="007A7D64" w:rsidRPr="008D7F14" w:rsidRDefault="007A7D64" w:rsidP="00487048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7A7D64" w:rsidRPr="008D7F14" w:rsidRDefault="007A7D64" w:rsidP="0026370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Первый год планового</w:t>
            </w:r>
            <w:r w:rsidRPr="008D7F14">
              <w:rPr>
                <w:color w:val="000000"/>
                <w:sz w:val="12"/>
                <w:szCs w:val="12"/>
              </w:rPr>
              <w:t xml:space="preserve"> период</w:t>
            </w:r>
            <w:r>
              <w:rPr>
                <w:color w:val="000000"/>
                <w:sz w:val="12"/>
                <w:szCs w:val="12"/>
              </w:rPr>
              <w:t>а</w:t>
            </w:r>
          </w:p>
          <w:p w:rsidR="007A7D64" w:rsidRPr="008D7F14" w:rsidRDefault="007A7D64" w:rsidP="00487048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7A7D64" w:rsidRPr="008D7F14" w:rsidRDefault="007A7D64" w:rsidP="007A7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 год планового</w:t>
            </w:r>
            <w:r w:rsidRPr="008D7F14">
              <w:rPr>
                <w:color w:val="000000"/>
                <w:sz w:val="12"/>
                <w:szCs w:val="12"/>
              </w:rPr>
              <w:t xml:space="preserve"> период</w:t>
            </w:r>
            <w:r>
              <w:rPr>
                <w:color w:val="000000"/>
                <w:sz w:val="12"/>
                <w:szCs w:val="12"/>
              </w:rPr>
              <w:t>а</w:t>
            </w:r>
          </w:p>
          <w:p w:rsidR="007A7D64" w:rsidRPr="008D7F14" w:rsidRDefault="007A7D64" w:rsidP="007A7D64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7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7A7D64" w:rsidRPr="008D7F14" w:rsidRDefault="007A7D64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7A7D64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</w:t>
            </w:r>
            <w:r w:rsidR="007A7D64" w:rsidRPr="00C16380">
              <w:rPr>
                <w:sz w:val="24"/>
                <w:szCs w:val="24"/>
                <w:lang w:val="ru-RU" w:eastAsia="ru-RU"/>
              </w:rPr>
              <w:t>- 20</w:t>
            </w:r>
            <w:r w:rsidR="007A7D64">
              <w:rPr>
                <w:sz w:val="24"/>
                <w:szCs w:val="24"/>
                <w:lang w:val="ru-RU" w:eastAsia="ru-RU"/>
              </w:rPr>
              <w:t>27</w:t>
            </w:r>
            <w:r w:rsidR="007A7D64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7A7D64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825AC6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7A7D64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="007A7D64" w:rsidRPr="00C16380">
              <w:rPr>
                <w:sz w:val="24"/>
                <w:szCs w:val="24"/>
                <w:lang w:val="ru-RU" w:eastAsia="ru-RU"/>
              </w:rPr>
              <w:t>- 20</w:t>
            </w:r>
            <w:r w:rsidR="007A7D64">
              <w:rPr>
                <w:sz w:val="24"/>
                <w:szCs w:val="24"/>
                <w:lang w:val="ru-RU" w:eastAsia="ru-RU"/>
              </w:rPr>
              <w:t>27</w:t>
            </w:r>
            <w:r w:rsidR="007A7D64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7A7D64">
              <w:rPr>
                <w:sz w:val="24"/>
                <w:szCs w:val="24"/>
                <w:lang w:val="ru-RU" w:eastAsia="ru-RU"/>
              </w:rPr>
              <w:t>70</w:t>
            </w:r>
            <w:r w:rsidR="007A7D64" w:rsidRPr="00C16380">
              <w:rPr>
                <w:sz w:val="24"/>
                <w:szCs w:val="24"/>
                <w:lang w:val="ru-RU" w:eastAsia="ru-RU"/>
              </w:rPr>
              <w:t>,</w:t>
            </w:r>
            <w:r w:rsidR="007A7D64">
              <w:rPr>
                <w:sz w:val="24"/>
                <w:szCs w:val="24"/>
                <w:lang w:val="ru-RU" w:eastAsia="ru-RU"/>
              </w:rPr>
              <w:t>0</w:t>
            </w:r>
            <w:r w:rsidR="007A7D64" w:rsidRPr="00C16380">
              <w:rPr>
                <w:sz w:val="24"/>
                <w:szCs w:val="24"/>
                <w:lang w:val="ru-RU" w:eastAsia="ru-RU"/>
              </w:rPr>
              <w:t>%</w:t>
            </w:r>
            <w:r w:rsidR="007A7D64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7A7D64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="007A7D64" w:rsidRPr="00C16380">
              <w:rPr>
                <w:sz w:val="24"/>
                <w:szCs w:val="24"/>
                <w:lang w:val="ru-RU" w:eastAsia="ru-RU"/>
              </w:rPr>
              <w:t>- 20</w:t>
            </w:r>
            <w:r w:rsidR="007A7D64">
              <w:rPr>
                <w:sz w:val="24"/>
                <w:szCs w:val="24"/>
                <w:lang w:val="ru-RU" w:eastAsia="ru-RU"/>
              </w:rPr>
              <w:t>27</w:t>
            </w:r>
            <w:r w:rsidR="007A7D64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7A7D64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7A7D64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7A7D64" w:rsidRPr="00B97D54">
              <w:t>- 20</w:t>
            </w:r>
            <w:r w:rsidR="007A7D64">
              <w:t>27</w:t>
            </w:r>
            <w:r w:rsidR="007A7D64" w:rsidRPr="00B97D54">
              <w:t xml:space="preserve"> год – 3</w:t>
            </w:r>
            <w:r w:rsidR="007A7D64">
              <w:t>5</w:t>
            </w:r>
            <w:r w:rsidR="007A7D64" w:rsidRPr="00B97D54">
              <w:t>,</w:t>
            </w:r>
            <w:r w:rsidR="007A7D64">
              <w:t>0</w:t>
            </w:r>
            <w:r w:rsidR="007A7D64" w:rsidRPr="00B97D54">
              <w:t xml:space="preserve"> кг у.т/тыс. рублей</w:t>
            </w:r>
            <w:r w:rsidR="007A7D64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</w:t>
            </w:r>
            <w:r w:rsidR="005532A9">
              <w:t>899,4</w:t>
            </w:r>
            <w:r>
              <w:t xml:space="preserve">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 xml:space="preserve">Система организации контроля за </w:t>
            </w:r>
            <w:r w:rsidRPr="00B97D54">
              <w:lastRenderedPageBreak/>
              <w:t>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lastRenderedPageBreak/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</w:t>
            </w:r>
            <w:r w:rsidRPr="00722006">
              <w:lastRenderedPageBreak/>
              <w:t>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Default="00F03515" w:rsidP="00F03515">
      <w:pPr>
        <w:pStyle w:val="af1"/>
        <w:ind w:firstLine="708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</w:t>
      </w:r>
      <w:r w:rsidRPr="00E46AED">
        <w:rPr>
          <w:sz w:val="24"/>
          <w:szCs w:val="24"/>
        </w:rPr>
        <w:t xml:space="preserve">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</w:t>
      </w:r>
      <w:r w:rsidR="00037549" w:rsidRPr="00E46AED">
        <w:rPr>
          <w:sz w:val="24"/>
          <w:szCs w:val="24"/>
          <w:lang w:val="ru-RU"/>
        </w:rPr>
        <w:t>12.04.2025</w:t>
      </w:r>
      <w:r w:rsidRPr="00E46AED">
        <w:rPr>
          <w:sz w:val="24"/>
          <w:szCs w:val="24"/>
        </w:rPr>
        <w:t xml:space="preserve"> N </w:t>
      </w:r>
      <w:r w:rsidR="00037549" w:rsidRPr="00E46AED">
        <w:rPr>
          <w:sz w:val="24"/>
          <w:szCs w:val="24"/>
          <w:lang w:val="ru-RU"/>
        </w:rPr>
        <w:t>908</w:t>
      </w:r>
      <w:r w:rsidRPr="00E46AED">
        <w:rPr>
          <w:sz w:val="24"/>
          <w:szCs w:val="24"/>
        </w:rPr>
        <w:t>-р, в которой высшим приоритетом государственной энергетической</w:t>
      </w:r>
      <w:r w:rsidRPr="00B97D54">
        <w:rPr>
          <w:sz w:val="24"/>
          <w:szCs w:val="24"/>
        </w:rPr>
        <w:t xml:space="preserve">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7E387C" w:rsidRPr="007E387C" w:rsidRDefault="007E387C" w:rsidP="00F03515">
      <w:pPr>
        <w:pStyle w:val="af1"/>
        <w:ind w:firstLine="708"/>
        <w:rPr>
          <w:sz w:val="24"/>
          <w:szCs w:val="24"/>
          <w:lang w:val="ru-RU"/>
        </w:rPr>
      </w:pPr>
      <w:r w:rsidRPr="007E387C">
        <w:rPr>
          <w:sz w:val="24"/>
          <w:szCs w:val="24"/>
        </w:rPr>
        <w:t>Период реализации настоящей Стратегии с учетом существующего механизма реализации документов стратегического планирования разделен на 3 этапа: на I этапе (до 2030 года) планируются адаптация к внешним и внутренним вызовам и обеспечение достижения национальных целей развития, определенных Указом Президента Российской Федерации от 7 мая 2024 г. № 309 "О национальных целях развития Российской Федерации на период до 2030 года и на перспективу до 2036 года"; на II этапе (2031 - 2035 годы) планируются формирование экономики предложения в отраслях топливно-энергетического комплекса Российской Федерации для гарантированного удовлетворения потребностей внутреннего рынка в их продукции и услугах и реализации экспортного потенциала, а также создание условий для перехода на новый технологический уклад в топливно-энергетическом комплексе Российской Федерации; на III этапе (2036 - 2050 годы) планируются опережающее развитие экономики Российской Федерации и сохранение роли одного из ведущих поставщиков на мировом энергетическом рынке за счет обеспечения технологического лидерства топливно-энергетического комплекса Российской Федерации.</w:t>
      </w:r>
    </w:p>
    <w:p w:rsidR="00F03515" w:rsidRPr="007E387C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</w:t>
      </w:r>
      <w:r w:rsidRPr="00B97D54">
        <w:rPr>
          <w:sz w:val="24"/>
          <w:szCs w:val="24"/>
        </w:rPr>
        <w:lastRenderedPageBreak/>
        <w:t>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7A7D64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="007A7D64" w:rsidRPr="00B97D54">
        <w:rPr>
          <w:sz w:val="24"/>
          <w:szCs w:val="24"/>
        </w:rPr>
        <w:t>- 20</w:t>
      </w:r>
      <w:r w:rsidR="007A7D64">
        <w:rPr>
          <w:sz w:val="24"/>
          <w:szCs w:val="24"/>
          <w:lang w:val="ru-RU"/>
        </w:rPr>
        <w:t>27</w:t>
      </w:r>
      <w:r w:rsidR="007A7D64" w:rsidRPr="00B97D54">
        <w:rPr>
          <w:sz w:val="24"/>
          <w:szCs w:val="24"/>
        </w:rPr>
        <w:t xml:space="preserve"> год – 100,0%</w:t>
      </w:r>
      <w:r w:rsidR="007A7D64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7A7D64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7A7D64" w:rsidRPr="00B97D54">
        <w:rPr>
          <w:sz w:val="24"/>
          <w:szCs w:val="24"/>
        </w:rPr>
        <w:t>- 20</w:t>
      </w:r>
      <w:r w:rsidR="007A7D64">
        <w:rPr>
          <w:sz w:val="24"/>
          <w:szCs w:val="24"/>
          <w:lang w:val="ru-RU"/>
        </w:rPr>
        <w:t>27</w:t>
      </w:r>
      <w:r w:rsidR="007A7D64" w:rsidRPr="00B97D54">
        <w:rPr>
          <w:sz w:val="24"/>
          <w:szCs w:val="24"/>
        </w:rPr>
        <w:t xml:space="preserve"> год – </w:t>
      </w:r>
      <w:r w:rsidR="007A7D64">
        <w:rPr>
          <w:sz w:val="24"/>
          <w:szCs w:val="24"/>
          <w:lang w:val="ru-RU"/>
        </w:rPr>
        <w:t>70,0</w:t>
      </w:r>
      <w:r w:rsidR="007A7D64" w:rsidRPr="00B97D54">
        <w:rPr>
          <w:sz w:val="24"/>
          <w:szCs w:val="24"/>
        </w:rPr>
        <w:t>%</w:t>
      </w:r>
      <w:r w:rsidR="007A7D64">
        <w:rPr>
          <w:sz w:val="24"/>
          <w:szCs w:val="24"/>
          <w:lang w:val="ru-RU"/>
        </w:rPr>
        <w:t>;</w:t>
      </w:r>
    </w:p>
    <w:p w:rsidR="00D9569D" w:rsidRPr="008C43FF" w:rsidRDefault="00E760CB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90,0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7A7D64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7A7D64">
        <w:rPr>
          <w:sz w:val="24"/>
          <w:szCs w:val="24"/>
        </w:rPr>
        <w:t>- 20</w:t>
      </w:r>
      <w:r w:rsidR="007A7D64">
        <w:rPr>
          <w:sz w:val="24"/>
          <w:szCs w:val="24"/>
          <w:lang w:val="ru-RU"/>
        </w:rPr>
        <w:t>27</w:t>
      </w:r>
      <w:r w:rsidR="007A7D64">
        <w:rPr>
          <w:sz w:val="24"/>
          <w:szCs w:val="24"/>
        </w:rPr>
        <w:t xml:space="preserve"> год – 100,0%</w:t>
      </w:r>
      <w:r w:rsidR="007A7D64">
        <w:rPr>
          <w:sz w:val="24"/>
          <w:szCs w:val="24"/>
          <w:lang w:val="ru-RU"/>
        </w:rPr>
        <w:t>;</w:t>
      </w:r>
    </w:p>
    <w:p w:rsidR="00F03515" w:rsidRPr="005D50F6" w:rsidRDefault="00102418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7A7D64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7A7D64" w:rsidRPr="00B97D54">
        <w:t>- 20</w:t>
      </w:r>
      <w:r w:rsidR="007A7D64">
        <w:t>27</w:t>
      </w:r>
      <w:r w:rsidR="007A7D64" w:rsidRPr="00B97D54">
        <w:t xml:space="preserve"> год – 3</w:t>
      </w:r>
      <w:r w:rsidR="007A7D64">
        <w:t>5</w:t>
      </w:r>
      <w:r w:rsidR="007A7D64" w:rsidRPr="00B97D54">
        <w:t>,</w:t>
      </w:r>
      <w:r w:rsidR="007A7D64">
        <w:t>0</w:t>
      </w:r>
      <w:r w:rsidR="007A7D64" w:rsidRPr="00B97D54">
        <w:t xml:space="preserve"> кг у.т/тыс. рублей</w:t>
      </w:r>
      <w:r w:rsidR="007A7D64">
        <w:t>;</w:t>
      </w:r>
    </w:p>
    <w:p w:rsidR="00F03515" w:rsidRDefault="00102418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30</w:t>
      </w:r>
      <w:r w:rsidRPr="00B97D54">
        <w:t xml:space="preserve"> год – 3</w:t>
      </w:r>
      <w:r>
        <w:t>5</w:t>
      </w:r>
      <w:r w:rsidRPr="00B97D54">
        <w:t>,</w:t>
      </w:r>
      <w:r>
        <w:t>0</w:t>
      </w:r>
      <w:r w:rsidRPr="00B97D54">
        <w:t xml:space="preserve"> кг у.т/тыс. рублей</w:t>
      </w:r>
      <w:r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7E387C" w:rsidRPr="007E387C" w:rsidRDefault="007E387C" w:rsidP="007E387C">
      <w:pPr>
        <w:pStyle w:val="af0"/>
        <w:overflowPunct w:val="0"/>
        <w:jc w:val="both"/>
      </w:pPr>
      <w:r>
        <w:t xml:space="preserve">     В связи с недостатком финансирования и дефицитом бюджета Ачинского района в 2025 году не запланировано финансирование на подпрограмму №3 </w:t>
      </w:r>
      <w:r w:rsidRPr="007E387C">
        <w:t>«Энергосбережение и повышение</w:t>
      </w:r>
      <w:r>
        <w:t xml:space="preserve"> </w:t>
      </w:r>
      <w:r w:rsidRPr="007E387C">
        <w:t xml:space="preserve">энергетической эффективности на территории Ачинского района» </w:t>
      </w:r>
    </w:p>
    <w:p w:rsidR="007E387C" w:rsidRPr="00B97D54" w:rsidRDefault="007E387C" w:rsidP="00F03515">
      <w:pPr>
        <w:widowControl w:val="0"/>
        <w:autoSpaceDE w:val="0"/>
        <w:autoSpaceDN w:val="0"/>
        <w:adjustRightInd w:val="0"/>
        <w:ind w:firstLine="540"/>
        <w:jc w:val="both"/>
      </w:pP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lastRenderedPageBreak/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B01DD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7B01DD" w:rsidRPr="00507843" w:rsidRDefault="007B01DD" w:rsidP="007B01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7B01DD" w:rsidRPr="00507843" w:rsidRDefault="007B01DD" w:rsidP="007B01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7B01DD" w:rsidRPr="00507843" w:rsidRDefault="007B01DD" w:rsidP="007B01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7B01DD" w:rsidRPr="00CA206A" w:rsidRDefault="007B01DD" w:rsidP="007B01D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7B01DD" w:rsidRPr="00507843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7B01DD" w:rsidRDefault="007B01DD" w:rsidP="007B01D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7B01DD" w:rsidRPr="00507843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7B01DD" w:rsidRDefault="007B01DD" w:rsidP="007B01D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7B01DD" w:rsidRPr="00507843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Первый год планового периода</w:t>
            </w:r>
          </w:p>
          <w:p w:rsidR="007B01DD" w:rsidRDefault="007B01DD" w:rsidP="007B01D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7B01DD" w:rsidRPr="00507843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Второй год планового периода</w:t>
            </w:r>
          </w:p>
          <w:p w:rsidR="007B01DD" w:rsidRDefault="007B01DD" w:rsidP="007B01D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27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</w:tr>
      <w:tr w:rsidR="007B01DD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7B01DD" w:rsidRPr="00507843" w:rsidRDefault="007B01DD" w:rsidP="007B01D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7B01DD" w:rsidRDefault="007B01DD" w:rsidP="007B01DD">
            <w:pPr>
              <w:rPr>
                <w:color w:val="000000"/>
                <w:sz w:val="22"/>
                <w:szCs w:val="22"/>
              </w:rPr>
            </w:pPr>
          </w:p>
        </w:tc>
      </w:tr>
      <w:tr w:rsidR="007B01DD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7B01DD" w:rsidRPr="00AB7B08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7B01DD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B01DD" w:rsidRPr="00CE25EA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7B01DD" w:rsidRPr="00CE25EA" w:rsidRDefault="007B01DD" w:rsidP="007B01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7B01DD" w:rsidRPr="00BC1D07" w:rsidRDefault="007B01DD" w:rsidP="007B01DD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01DD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B01DD" w:rsidRPr="00CE25EA" w:rsidRDefault="007B01DD" w:rsidP="007B01DD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7B01DD" w:rsidRPr="00CE25EA" w:rsidRDefault="007B01DD" w:rsidP="007B01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7B01DD" w:rsidRPr="00CE25EA" w:rsidRDefault="007B01DD" w:rsidP="007B01DD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7B01DD" w:rsidRPr="00CE25EA" w:rsidRDefault="007B01DD" w:rsidP="007B01DD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01DD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7B01DD" w:rsidRPr="005266F5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7B01DD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7B01DD" w:rsidRPr="00533390" w:rsidRDefault="007B01DD" w:rsidP="007B01DD">
            <w:pPr>
              <w:rPr>
                <w:color w:val="000000"/>
                <w:sz w:val="16"/>
                <w:szCs w:val="16"/>
              </w:rPr>
            </w:pPr>
          </w:p>
        </w:tc>
      </w:tr>
      <w:tr w:rsidR="007B01DD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7B01DD" w:rsidRPr="00533390" w:rsidRDefault="007B01DD" w:rsidP="007B01DD">
            <w:pPr>
              <w:rPr>
                <w:color w:val="000000"/>
                <w:sz w:val="16"/>
                <w:szCs w:val="16"/>
              </w:rPr>
            </w:pPr>
          </w:p>
        </w:tc>
      </w:tr>
      <w:tr w:rsidR="007B01DD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B01DD" w:rsidRPr="00CA206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7B01DD" w:rsidRPr="00191FFC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7B01DD" w:rsidRPr="005266F5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7B01DD" w:rsidRPr="005266F5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191FFC" w:rsidRDefault="007B01DD" w:rsidP="007B01D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gridSpan w:val="3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4A4CAA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7B01DD" w:rsidRPr="005266F5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7B01DD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7B01DD" w:rsidRPr="00E663D8" w:rsidRDefault="007B01DD" w:rsidP="007B01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7B01DD" w:rsidRPr="004024D0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gridSpan w:val="3"/>
            <w:vAlign w:val="center"/>
          </w:tcPr>
          <w:p w:rsidR="007B01DD" w:rsidRPr="004024D0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3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7B01DD" w:rsidRPr="005266F5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7B01DD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7B01DD" w:rsidRPr="004024D0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gridSpan w:val="3"/>
            <w:vAlign w:val="center"/>
          </w:tcPr>
          <w:p w:rsidR="007B01DD" w:rsidRPr="004024D0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3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pct"/>
            <w:gridSpan w:val="3"/>
            <w:vAlign w:val="center"/>
          </w:tcPr>
          <w:p w:rsidR="007B01DD" w:rsidRDefault="007B01DD" w:rsidP="007B01D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3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7B01DD" w:rsidRPr="008234D7" w:rsidRDefault="007B01DD" w:rsidP="007B01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DD3140" w:rsidRDefault="007B01DD" w:rsidP="007B01DD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7B01DD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7B01DD" w:rsidRPr="00E663D8" w:rsidRDefault="007B01DD" w:rsidP="007B01D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7B01DD" w:rsidRPr="00DD3140" w:rsidRDefault="007B01DD" w:rsidP="007B01DD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B01DD" w:rsidRPr="00E663D8" w:rsidRDefault="007B01DD" w:rsidP="007B01D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7B01DD" w:rsidRPr="00685CEE" w:rsidRDefault="007B01DD" w:rsidP="007B01D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7B01DD" w:rsidRPr="00CA206A" w:rsidRDefault="007B01DD" w:rsidP="007B01D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7B01DD" w:rsidRPr="00DD3140" w:rsidRDefault="007B01DD" w:rsidP="007B01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7B01DD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="007B01DD" w:rsidRPr="00C16380">
              <w:rPr>
                <w:sz w:val="24"/>
                <w:szCs w:val="24"/>
                <w:lang w:val="ru-RU" w:eastAsia="ru-RU"/>
              </w:rPr>
              <w:t>- 20</w:t>
            </w:r>
            <w:r w:rsidR="007B01DD">
              <w:rPr>
                <w:sz w:val="24"/>
                <w:szCs w:val="24"/>
                <w:lang w:val="ru-RU" w:eastAsia="ru-RU"/>
              </w:rPr>
              <w:t xml:space="preserve">27 </w:t>
            </w:r>
            <w:r w:rsidR="007B01D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7B01D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lastRenderedPageBreak/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7B01DD" w:rsidRDefault="00102418" w:rsidP="007B01DD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</w:t>
            </w:r>
            <w:r w:rsidR="007B01DD" w:rsidRPr="00C16380">
              <w:rPr>
                <w:sz w:val="24"/>
                <w:szCs w:val="24"/>
                <w:lang w:val="ru-RU" w:eastAsia="ru-RU"/>
              </w:rPr>
              <w:t>- 20</w:t>
            </w:r>
            <w:r w:rsidR="007B01DD">
              <w:rPr>
                <w:sz w:val="24"/>
                <w:szCs w:val="24"/>
                <w:lang w:val="ru-RU" w:eastAsia="ru-RU"/>
              </w:rPr>
              <w:t>27</w:t>
            </w:r>
            <w:r w:rsidR="007B01D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B01D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B01DD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7B01DD">
              <w:t>7</w:t>
            </w:r>
            <w:r w:rsidRPr="00A909AC">
              <w:t xml:space="preserve"> годах за счет бюджета Ачинского района составит </w:t>
            </w:r>
            <w:r w:rsidR="00582570">
              <w:t>155439,5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747894" w:rsidP="000949A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</w:rPr>
              <w:t>2014 год – 8601,3</w:t>
            </w:r>
            <w:r w:rsidR="00F03515"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223540">
              <w:rPr>
                <w:rFonts w:ascii="Times New Roman" w:hAnsi="Times New Roman" w:cs="Times New Roman"/>
                <w:sz w:val="24"/>
              </w:rPr>
              <w:t>16339,6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(в т.ч.кр.бюджет – </w:t>
            </w:r>
            <w:r w:rsidR="00B87349">
              <w:rPr>
                <w:rFonts w:ascii="Times New Roman" w:hAnsi="Times New Roman" w:cs="Times New Roman"/>
                <w:sz w:val="24"/>
              </w:rPr>
              <w:t>1595,1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тыс.руб.)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7B01DD">
              <w:rPr>
                <w:rFonts w:ascii="Times New Roman" w:hAnsi="Times New Roman" w:cs="Times New Roman"/>
                <w:sz w:val="24"/>
              </w:rPr>
              <w:t>13620,0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9569D" w:rsidRDefault="00086114" w:rsidP="007B01D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2026 год – </w:t>
            </w:r>
            <w:r w:rsidR="007B01DD">
              <w:rPr>
                <w:rFonts w:ascii="Times New Roman" w:hAnsi="Times New Roman" w:cs="Times New Roman"/>
                <w:sz w:val="24"/>
              </w:rPr>
              <w:t>17298,6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7B01DD" w:rsidRPr="00B67548" w:rsidRDefault="007B01DD" w:rsidP="007B01D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 – 17298,6 тыс. рублей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7B01DD" w:rsidRDefault="007B01DD" w:rsidP="007B01DD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B01DD" w:rsidRDefault="007B01DD" w:rsidP="007B01DD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B01DD" w:rsidRDefault="007B01DD" w:rsidP="007B01DD">
      <w:pPr>
        <w:pStyle w:val="af0"/>
        <w:overflowPunct w:val="0"/>
        <w:ind w:left="-284" w:hanging="142"/>
        <w:jc w:val="both"/>
      </w:pPr>
      <w:r>
        <w:t xml:space="preserve">       2026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B01DD" w:rsidRDefault="007B01DD" w:rsidP="003C30EB">
      <w:pPr>
        <w:pStyle w:val="af0"/>
        <w:overflowPunct w:val="0"/>
        <w:ind w:hanging="142"/>
        <w:jc w:val="both"/>
      </w:pPr>
      <w:r>
        <w:t xml:space="preserve">  2027 год.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lastRenderedPageBreak/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7E387C" w:rsidP="00872AF2">
      <w:pPr>
        <w:autoSpaceDE w:val="0"/>
        <w:autoSpaceDN w:val="0"/>
        <w:adjustRightInd w:val="0"/>
        <w:ind w:left="-426"/>
        <w:jc w:val="both"/>
      </w:pPr>
      <w:r>
        <w:t xml:space="preserve">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</w:t>
      </w:r>
      <w:r w:rsidR="007B01DD">
        <w:t>7</w:t>
      </w:r>
      <w:r w:rsidRPr="00A7006F">
        <w:t xml:space="preserve"> годах за счет всех источников финансирования составит </w:t>
      </w:r>
      <w:r w:rsidR="00582570">
        <w:t>155439,5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7824C4">
        <w:rPr>
          <w:rFonts w:ascii="Times New Roman" w:hAnsi="Times New Roman" w:cs="Times New Roman"/>
          <w:sz w:val="24"/>
          <w:szCs w:val="24"/>
        </w:rPr>
        <w:t>3535,5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</w:t>
      </w:r>
      <w:r w:rsidR="00747894">
        <w:t>3</w:t>
      </w:r>
      <w:r w:rsidRPr="00C15EBF">
        <w:t xml:space="preserve">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D61297">
        <w:t>16339,6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  <w:r w:rsidR="00524F5B" w:rsidRPr="00524F5B">
        <w:t xml:space="preserve"> </w:t>
      </w:r>
      <w:r w:rsidR="00524F5B">
        <w:t>(в т.ч.</w:t>
      </w:r>
      <w:r w:rsidR="00D85BD9">
        <w:t xml:space="preserve"> </w:t>
      </w:r>
      <w:r w:rsidR="00524F5B">
        <w:t>кр</w:t>
      </w:r>
      <w:r w:rsidR="00D85BD9">
        <w:t xml:space="preserve">аевой </w:t>
      </w:r>
      <w:r w:rsidR="00524F5B">
        <w:t xml:space="preserve">бюджет – </w:t>
      </w:r>
      <w:r w:rsidR="007824C4">
        <w:t>1595,1</w:t>
      </w:r>
      <w:r w:rsidR="00524F5B">
        <w:t xml:space="preserve"> тыс.руб.)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7B01DD">
        <w:t>13620,0</w:t>
      </w:r>
      <w:r w:rsidR="00B922A2" w:rsidRPr="002347E9">
        <w:t xml:space="preserve"> </w:t>
      </w:r>
      <w:r w:rsidR="00D9569D">
        <w:t>тыс. рублей;</w:t>
      </w:r>
    </w:p>
    <w:p w:rsidR="00D9569D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 w:rsidR="007B01DD">
        <w:t>17298,6</w:t>
      </w:r>
      <w:r w:rsidRPr="002347E9">
        <w:t xml:space="preserve"> тыс. рублей.</w:t>
      </w:r>
    </w:p>
    <w:p w:rsidR="007B01DD" w:rsidRPr="00EA7566" w:rsidRDefault="007B01DD" w:rsidP="007B01DD">
      <w:pPr>
        <w:pStyle w:val="af0"/>
        <w:ind w:left="-284" w:hanging="142"/>
        <w:jc w:val="both"/>
      </w:pPr>
      <w:r w:rsidRPr="002347E9">
        <w:t>202</w:t>
      </w:r>
      <w:r>
        <w:t>7</w:t>
      </w:r>
      <w:r w:rsidRPr="002347E9">
        <w:t xml:space="preserve"> год — </w:t>
      </w:r>
      <w:r>
        <w:t>17298,6</w:t>
      </w:r>
      <w:r w:rsidRPr="002347E9">
        <w:t xml:space="preserve"> тыс. рублей.</w:t>
      </w:r>
    </w:p>
    <w:p w:rsidR="007B01DD" w:rsidRPr="00EA7566" w:rsidRDefault="007B01DD" w:rsidP="003C30EB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lastRenderedPageBreak/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582570" w:rsidRDefault="00582570" w:rsidP="00582570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2027 год включает в себя:</w:t>
      </w:r>
    </w:p>
    <w:p w:rsidR="00582570" w:rsidRDefault="00582570" w:rsidP="00582570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582570" w:rsidRDefault="00582570" w:rsidP="00582570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582570" w:rsidRDefault="00582570" w:rsidP="00582570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7B01DD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1DD" w:rsidRPr="00AD49DD" w:rsidRDefault="007B01DD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B01DD" w:rsidRPr="00AD49DD" w:rsidRDefault="007B01DD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7B01DD" w:rsidRPr="00AD49DD" w:rsidRDefault="007B01DD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7B01DD" w:rsidRPr="00AD49DD" w:rsidRDefault="007B01DD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7B01DD" w:rsidRPr="00AD49DD" w:rsidRDefault="007B01DD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Первый год планового периода</w:t>
            </w:r>
          </w:p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7B01DD" w:rsidRPr="00AD49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 год планового периода</w:t>
            </w:r>
          </w:p>
          <w:p w:rsidR="007B01DD" w:rsidRPr="00AD49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>
              <w:rPr>
                <w:color w:val="000000"/>
                <w:sz w:val="12"/>
                <w:szCs w:val="12"/>
              </w:rPr>
              <w:t>7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134" w:type="dxa"/>
            <w:vMerge/>
            <w:shd w:val="clear" w:color="auto" w:fill="auto"/>
          </w:tcPr>
          <w:p w:rsidR="007B01DD" w:rsidRPr="00352F4C" w:rsidRDefault="007B01DD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7B01DD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B01DD" w:rsidRPr="007F0F1E" w:rsidRDefault="007B01DD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B01DD" w:rsidRPr="0001381E" w:rsidRDefault="007B01DD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7B01DD" w:rsidRPr="0001381E" w:rsidRDefault="007B01DD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7B01DD" w:rsidRPr="0001381E" w:rsidRDefault="007B01DD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7B01DD" w:rsidRPr="0001381E" w:rsidRDefault="007B01DD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7B01DD" w:rsidRPr="0001381E" w:rsidRDefault="007B01DD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7B01DD" w:rsidRPr="0001381E" w:rsidRDefault="007B01DD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7B01DD" w:rsidRPr="0001381E" w:rsidRDefault="007B01DD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7B01DD" w:rsidRPr="0001381E" w:rsidRDefault="007B01DD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7B01DD" w:rsidRPr="00352F4C" w:rsidRDefault="007B01DD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7B01DD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B01DD" w:rsidRPr="00922AC7" w:rsidRDefault="007B01DD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7B01DD" w:rsidRPr="0001381E" w:rsidRDefault="007B01DD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7B01DD" w:rsidRPr="0001381E" w:rsidRDefault="007B01DD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7B01DD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1DD" w:rsidRPr="00922AC7" w:rsidRDefault="007B01DD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7B01DD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7B01DD" w:rsidRPr="003E27CD" w:rsidRDefault="007B01DD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B01DD" w:rsidRPr="005F2972" w:rsidRDefault="007B01DD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7B01DD" w:rsidRPr="005F2972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01DD" w:rsidRPr="007F0F1E" w:rsidRDefault="007B01DD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7B01DD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7B01DD" w:rsidRPr="003E27CD" w:rsidRDefault="007B01DD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B01DD" w:rsidRPr="005F2972" w:rsidRDefault="007B01DD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7B01DD" w:rsidRPr="007F0F1E" w:rsidRDefault="007B01DD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01DD" w:rsidRPr="007F0F1E" w:rsidRDefault="007B01DD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7B01DD" w:rsidRPr="003E27CD" w:rsidTr="00B24686">
        <w:tc>
          <w:tcPr>
            <w:tcW w:w="426" w:type="dxa"/>
            <w:shd w:val="clear" w:color="auto" w:fill="auto"/>
            <w:vAlign w:val="center"/>
          </w:tcPr>
          <w:p w:rsidR="007B01DD" w:rsidRPr="007A281D" w:rsidRDefault="007B01D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B01DD" w:rsidRPr="007A281D" w:rsidRDefault="007B01D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B01DD" w:rsidRPr="005F2972" w:rsidRDefault="007B01DD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01DD" w:rsidRPr="007F0F1E" w:rsidRDefault="007B01DD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7B01DD" w:rsidRPr="003E27CD" w:rsidTr="00B24686">
        <w:tc>
          <w:tcPr>
            <w:tcW w:w="426" w:type="dxa"/>
            <w:shd w:val="clear" w:color="auto" w:fill="auto"/>
            <w:vAlign w:val="bottom"/>
          </w:tcPr>
          <w:p w:rsidR="007B01DD" w:rsidRPr="0012415A" w:rsidRDefault="007B01D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B01DD" w:rsidRPr="0012415A" w:rsidRDefault="007B01DD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7B01DD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7B01DD" w:rsidRPr="00BE5491" w:rsidRDefault="007B01DD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BE5491" w:rsidRDefault="007B01DD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12415A" w:rsidRDefault="007B01D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7B01DD" w:rsidRPr="00922AC7" w:rsidRDefault="007B01DD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B01DD" w:rsidRDefault="007B01DD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7B01DD" w:rsidRPr="00AD49DD" w:rsidRDefault="007B01DD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12904,5</w:t>
            </w:r>
          </w:p>
        </w:tc>
        <w:tc>
          <w:tcPr>
            <w:tcW w:w="992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11455,7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15142,6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7B01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15142,6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B01DD" w:rsidRPr="004B068C" w:rsidRDefault="007B01DD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7B01DD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7B01DD" w:rsidRPr="00BE5491" w:rsidRDefault="007B01DD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BE5491" w:rsidRDefault="007B01DD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Default="007B01DD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7B01DD" w:rsidRPr="00922AC7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B01DD" w:rsidRPr="00AD49DD" w:rsidRDefault="007B01DD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3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Pr="00B67548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7B01DD" w:rsidRPr="00AD49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01DD" w:rsidRPr="003E27CD" w:rsidRDefault="007B01DD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7B01DD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7B01DD" w:rsidRPr="00BE5491" w:rsidRDefault="007B01DD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BE5491" w:rsidRDefault="007B01DD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12415A" w:rsidRDefault="007B01D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7B01DD" w:rsidRPr="00922AC7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B01DD" w:rsidRPr="00AD49DD" w:rsidRDefault="007B01DD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1834,0</w:t>
            </w:r>
          </w:p>
        </w:tc>
        <w:tc>
          <w:tcPr>
            <w:tcW w:w="992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2158,3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2150,0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7B01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2150,0</w:t>
            </w:r>
          </w:p>
        </w:tc>
        <w:tc>
          <w:tcPr>
            <w:tcW w:w="1134" w:type="dxa"/>
            <w:vMerge/>
            <w:shd w:val="clear" w:color="auto" w:fill="auto"/>
          </w:tcPr>
          <w:p w:rsidR="007B01DD" w:rsidRPr="003E27CD" w:rsidRDefault="007B01DD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7B01DD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7B01DD" w:rsidRPr="00BE5491" w:rsidRDefault="007B01DD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BE5491" w:rsidRDefault="007B01DD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12415A" w:rsidRDefault="007B01DD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7B01DD" w:rsidRPr="00922AC7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AD49DD" w:rsidRDefault="007B01DD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B01DD" w:rsidRPr="00AD49DD" w:rsidRDefault="007B01DD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7B01DD" w:rsidRPr="00AD49DD" w:rsidRDefault="007B01DD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7B01DD" w:rsidRPr="00AD49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48704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7B01DD" w:rsidRPr="00AD49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Default="007B01DD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7B01DD" w:rsidRDefault="007B01DD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7B01DD" w:rsidRDefault="007B01DD" w:rsidP="00D7419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1134" w:type="dxa"/>
            <w:vMerge/>
            <w:shd w:val="clear" w:color="auto" w:fill="auto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7B01DD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7B01DD" w:rsidRPr="00BE5491" w:rsidRDefault="007B01DD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B01DD" w:rsidRPr="00B24686" w:rsidRDefault="007B01DD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1DD" w:rsidRPr="00B24686" w:rsidRDefault="007B01DD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B01DD" w:rsidRPr="00B24686" w:rsidRDefault="007B01DD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B24686" w:rsidRDefault="007B01DD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B24686" w:rsidRDefault="007B01DD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01DD" w:rsidRPr="00B24686" w:rsidRDefault="007B01DD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7B01DD" w:rsidRPr="00B24686" w:rsidRDefault="007B01DD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7B01DD" w:rsidRPr="00B24686" w:rsidRDefault="007B01DD" w:rsidP="0048704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3" w:type="dxa"/>
            <w:vAlign w:val="center"/>
          </w:tcPr>
          <w:p w:rsidR="007B01DD" w:rsidRPr="00B24686" w:rsidRDefault="007B01DD" w:rsidP="0048704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14744,5</w:t>
            </w:r>
          </w:p>
        </w:tc>
        <w:tc>
          <w:tcPr>
            <w:tcW w:w="992" w:type="dxa"/>
            <w:vAlign w:val="center"/>
          </w:tcPr>
          <w:p w:rsidR="007B01DD" w:rsidRPr="00B24686" w:rsidRDefault="007B01DD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B01DD" w:rsidRPr="00B24686" w:rsidRDefault="007B01DD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13620,0</w:t>
            </w:r>
          </w:p>
        </w:tc>
        <w:tc>
          <w:tcPr>
            <w:tcW w:w="992" w:type="dxa"/>
            <w:vAlign w:val="center"/>
          </w:tcPr>
          <w:p w:rsidR="007B01DD" w:rsidRPr="00B24686" w:rsidRDefault="007B01DD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B01DD" w:rsidRPr="00B24686" w:rsidRDefault="007B01DD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17298,6</w:t>
            </w:r>
          </w:p>
        </w:tc>
        <w:tc>
          <w:tcPr>
            <w:tcW w:w="992" w:type="dxa"/>
            <w:vAlign w:val="center"/>
          </w:tcPr>
          <w:p w:rsidR="007B01DD" w:rsidRPr="00B24686" w:rsidRDefault="007B01DD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7B01DD" w:rsidRPr="00B24686" w:rsidRDefault="007B01DD" w:rsidP="00D74198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17298,6</w:t>
            </w:r>
          </w:p>
        </w:tc>
        <w:tc>
          <w:tcPr>
            <w:tcW w:w="1134" w:type="dxa"/>
            <w:shd w:val="clear" w:color="auto" w:fill="auto"/>
          </w:tcPr>
          <w:p w:rsidR="007B01DD" w:rsidRPr="0012415A" w:rsidRDefault="007B01DD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</w:t>
            </w:r>
            <w:r w:rsidR="00305FF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7B01DD">
              <w:t>76679,4</w:t>
            </w:r>
            <w:r w:rsidR="00917239">
              <w:t xml:space="preserve"> 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3A1B89">
              <w:t>24921,9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7B01DD">
              <w:t>51757,5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2B0573">
              <w:t>18438,0</w:t>
            </w:r>
            <w:r w:rsidRPr="00671ADC">
              <w:t xml:space="preserve"> тыс.р. (краевой бюджет -</w:t>
            </w:r>
            <w:r w:rsidR="003A1B89">
              <w:t>10016,1</w:t>
            </w:r>
            <w:r w:rsidRPr="00671ADC">
              <w:t xml:space="preserve"> тыс.руб; местный бюджет –</w:t>
            </w:r>
            <w:r w:rsidR="003A1B89">
              <w:t>8421,9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7B01DD">
              <w:t>9517,2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7B01DD">
              <w:t>9517,2</w:t>
            </w:r>
            <w:r w:rsidR="007B01DD" w:rsidRPr="00671ADC">
              <w:t xml:space="preserve"> </w:t>
            </w:r>
            <w:r>
              <w:t>тыс.р.)</w:t>
            </w:r>
          </w:p>
          <w:p w:rsidR="00D22EE6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 w:rsidR="00747894">
              <w:t xml:space="preserve"> </w:t>
            </w:r>
            <w:r w:rsidR="007B01DD">
              <w:t>9517,2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7B01DD">
              <w:t>9517,2</w:t>
            </w:r>
            <w:r w:rsidR="007B01DD" w:rsidRPr="00671ADC">
              <w:t xml:space="preserve"> </w:t>
            </w:r>
            <w:r>
              <w:t>тыс.р.)</w:t>
            </w:r>
          </w:p>
          <w:p w:rsidR="007B01DD" w:rsidRDefault="007B01DD" w:rsidP="007B01DD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27</w:t>
            </w:r>
            <w:r w:rsidRPr="00671ADC">
              <w:t>г. –</w:t>
            </w:r>
            <w:r>
              <w:t xml:space="preserve"> 9517,2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9517,2</w:t>
            </w:r>
            <w:r w:rsidRPr="00671ADC">
              <w:t xml:space="preserve"> </w:t>
            </w:r>
            <w:r>
              <w:t>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305FF5" w:rsidRPr="00305FF5" w:rsidRDefault="00305FF5" w:rsidP="00305FF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05FF5">
        <w:rPr>
          <w:rFonts w:ascii="Times New Roman" w:hAnsi="Times New Roman" w:cs="Times New Roman"/>
        </w:rPr>
        <w:t>В соответствии с требованиями Федерального Закона № 89-ФЗ от 24.06.1998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исключительно региональным оператором.</w:t>
      </w:r>
    </w:p>
    <w:p w:rsidR="00305FF5" w:rsidRPr="00C24393" w:rsidRDefault="00305FF5" w:rsidP="00305FF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05FF5">
        <w:rPr>
          <w:rFonts w:ascii="Times New Roman" w:hAnsi="Times New Roman" w:cs="Times New Roman"/>
        </w:rPr>
        <w:t xml:space="preserve">По итогам конкурсного отбора, проведенного Министерством экологии и рационального природопользования Красноярского края  и заключенных Соглашений между Министерством экологии и рационального природопользования Красноярского края и ООО «Эко-Транспорт», оказание услуг по обращению с твердыми коммунальными отходами  на территории Ачинской технологической зоны с 01.01.2019 осуществляет региональный оператор ООО «Эко-Транспорт». </w:t>
      </w:r>
      <w:r>
        <w:rPr>
          <w:rFonts w:ascii="Times New Roman" w:hAnsi="Times New Roman" w:cs="Times New Roman"/>
        </w:rPr>
        <w:t>Ачинский район</w:t>
      </w:r>
      <w:r w:rsidRPr="00305FF5">
        <w:rPr>
          <w:rFonts w:ascii="Times New Roman" w:hAnsi="Times New Roman" w:cs="Times New Roman"/>
        </w:rPr>
        <w:t xml:space="preserve">  входит в Ачинскую технологическую зону.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lastRenderedPageBreak/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>населенных 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305FF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27457">
        <w:rPr>
          <w:rFonts w:ascii="Times New Roman" w:hAnsi="Times New Roman" w:cs="Times New Roman"/>
        </w:rPr>
        <w:t>Увеличение доли</w:t>
      </w:r>
      <w:r w:rsidRPr="00305FF5">
        <w:rPr>
          <w:rFonts w:ascii="Times New Roman" w:hAnsi="Times New Roman" w:cs="Times New Roman"/>
        </w:rPr>
        <w:t xml:space="preserve"> </w:t>
      </w:r>
      <w:r w:rsidR="00B27457">
        <w:rPr>
          <w:rFonts w:ascii="Times New Roman" w:hAnsi="Times New Roman" w:cs="Times New Roman"/>
        </w:rPr>
        <w:t xml:space="preserve">ликвидированных </w:t>
      </w:r>
      <w:r w:rsidRPr="00305FF5">
        <w:rPr>
          <w:rFonts w:ascii="Times New Roman" w:hAnsi="Times New Roman" w:cs="Times New Roman"/>
        </w:rPr>
        <w:t xml:space="preserve">несанкционированных свалок на территории </w:t>
      </w:r>
      <w:r>
        <w:rPr>
          <w:rFonts w:ascii="Times New Roman" w:hAnsi="Times New Roman" w:cs="Times New Roman"/>
        </w:rPr>
        <w:t>Ачинского</w:t>
      </w:r>
      <w:r w:rsidRPr="00305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района.</w:t>
      </w: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B27457" w:rsidRDefault="00B27457" w:rsidP="00F03515">
      <w:pPr>
        <w:ind w:firstLine="709"/>
        <w:jc w:val="both"/>
      </w:pPr>
      <w:r>
        <w:t>5. Л</w:t>
      </w:r>
      <w:r w:rsidRPr="00B27457">
        <w:t xml:space="preserve">иквидация несанкционированных свалок на территории </w:t>
      </w:r>
      <w:r>
        <w:t>Ачинского</w:t>
      </w:r>
      <w:r w:rsidRPr="00B27457">
        <w:t xml:space="preserve"> </w:t>
      </w:r>
      <w:r>
        <w:t>района</w:t>
      </w:r>
      <w:r w:rsidRPr="00B27457">
        <w:t>;</w:t>
      </w:r>
    </w:p>
    <w:p w:rsidR="00F03515" w:rsidRDefault="00B27457" w:rsidP="00F03515">
      <w:pPr>
        <w:ind w:firstLine="709"/>
        <w:jc w:val="both"/>
      </w:pPr>
      <w:r>
        <w:t>6</w:t>
      </w:r>
      <w:r w:rsidR="00F03515" w:rsidRPr="00347B1B">
        <w:t>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305FF5" w:rsidRPr="00347B1B" w:rsidRDefault="00305FF5" w:rsidP="00F03515">
      <w:pPr>
        <w:ind w:firstLine="709"/>
        <w:jc w:val="both"/>
      </w:pPr>
      <w:r w:rsidRPr="00305FF5"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lastRenderedPageBreak/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FE592B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FE592B" w:rsidRPr="002D18A5" w:rsidRDefault="00FE592B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FE592B" w:rsidRPr="002D18A5" w:rsidRDefault="00FE592B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E592B" w:rsidRPr="002D18A5" w:rsidRDefault="00FE592B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FE592B" w:rsidRPr="002D18A5" w:rsidRDefault="00FE592B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E592B" w:rsidRPr="00FC36D9" w:rsidRDefault="00FE592B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Отчетный финансовый год</w:t>
            </w:r>
          </w:p>
          <w:p w:rsidR="00FE592B" w:rsidRPr="00FC36D9" w:rsidRDefault="00FE592B" w:rsidP="00487048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FE592B" w:rsidRPr="00FC36D9" w:rsidRDefault="00FE592B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FE592B" w:rsidRPr="00FC36D9" w:rsidRDefault="00FE592B" w:rsidP="00487048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FE592B" w:rsidRPr="00FC36D9" w:rsidRDefault="00FE592B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 год планового периода</w:t>
            </w:r>
          </w:p>
          <w:p w:rsidR="00FE592B" w:rsidRPr="00FC36D9" w:rsidRDefault="00FE592B" w:rsidP="00487048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FE592B" w:rsidRPr="00FC36D9" w:rsidRDefault="00FE592B" w:rsidP="00D741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 год планового периода</w:t>
            </w:r>
          </w:p>
          <w:p w:rsidR="00FE592B" w:rsidRPr="00FC36D9" w:rsidRDefault="00FE592B" w:rsidP="00FE592B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7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FE592B" w:rsidRDefault="00FE592B" w:rsidP="000949A9"/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FE592B" w:rsidRPr="001158C0" w:rsidRDefault="00FE592B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E592B" w:rsidRPr="001158C0" w:rsidRDefault="00FE592B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FE592B" w:rsidRPr="001158C0" w:rsidRDefault="00FE592B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E592B" w:rsidRPr="001158C0" w:rsidRDefault="00FE592B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FE592B" w:rsidRPr="001158C0" w:rsidRDefault="00FE592B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592B" w:rsidRPr="00922AC7" w:rsidRDefault="00FE592B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922AC7" w:rsidRDefault="00FE592B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922AC7" w:rsidRDefault="00FE592B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FE592B" w:rsidRDefault="00FE592B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592B" w:rsidRPr="00922AC7" w:rsidRDefault="00FE592B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FE592B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FE592B" w:rsidRDefault="00FE592B" w:rsidP="000949A9"/>
        </w:tc>
        <w:tc>
          <w:tcPr>
            <w:tcW w:w="2694" w:type="dxa"/>
            <w:shd w:val="clear" w:color="auto" w:fill="auto"/>
          </w:tcPr>
          <w:p w:rsidR="00FE592B" w:rsidRPr="001158C0" w:rsidRDefault="00FE592B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FE592B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E592B" w:rsidRPr="00BB5614" w:rsidRDefault="00FE592B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FE592B" w:rsidRPr="00CF3C36" w:rsidRDefault="00FE592B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2D18A5" w:rsidRDefault="00FE592B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Pr="007E35ED" w:rsidRDefault="00FE592B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3457,4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4944,0</w:t>
            </w: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A23263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5644,4</w:t>
            </w: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A23263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ущерба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E592B" w:rsidRPr="00BB5614" w:rsidRDefault="00FE592B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2347E9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2347E9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E592B" w:rsidRPr="00BB5614" w:rsidRDefault="00FE592B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2347E9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707,7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2347E9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E592B" w:rsidRPr="00BB5614" w:rsidRDefault="00FE592B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  <w:p w:rsidR="00FE592B" w:rsidRPr="00CF3C36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2D18A5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0450082050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Pr="007E35ED" w:rsidRDefault="00FE592B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2347E9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2347E9" w:rsidRDefault="00FE592B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2D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мест накопления твердых бытовых отходов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FE592B" w:rsidRPr="00BB5614" w:rsidRDefault="00FE592B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FE592B" w:rsidRPr="00CF3C36" w:rsidRDefault="00FE592B" w:rsidP="00596508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2D18A5" w:rsidRDefault="00FE592B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0450086660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Pr="007E35ED" w:rsidRDefault="00FE592B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Default="00FE592B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FE592B" w:rsidRPr="001158C0" w:rsidRDefault="00FE592B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Default="00FE592B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Default="00FE592B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A23263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1276" w:type="dxa"/>
            <w:vMerge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FE592B" w:rsidRDefault="00B27457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E592B" w:rsidRDefault="00FE592B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контейнерного оборудования</w:t>
            </w:r>
          </w:p>
        </w:tc>
        <w:tc>
          <w:tcPr>
            <w:tcW w:w="425" w:type="dxa"/>
            <w:shd w:val="clear" w:color="auto" w:fill="auto"/>
          </w:tcPr>
          <w:p w:rsidR="00FE592B" w:rsidRPr="001158C0" w:rsidRDefault="00FE592B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CA2532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1F39BA" w:rsidRDefault="00FE592B" w:rsidP="001F39B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Default="00FE592B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AF6044" w:rsidTr="00AF6044">
        <w:trPr>
          <w:cantSplit/>
          <w:trHeight w:val="948"/>
        </w:trPr>
        <w:tc>
          <w:tcPr>
            <w:tcW w:w="391" w:type="dxa"/>
            <w:shd w:val="clear" w:color="auto" w:fill="auto"/>
          </w:tcPr>
          <w:p w:rsidR="00FE592B" w:rsidRPr="00AF6044" w:rsidRDefault="00B27457" w:rsidP="00AF60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  <w:r w:rsidRPr="00AF6044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BB5614" w:rsidRDefault="00FE592B" w:rsidP="005F5AC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FE592B" w:rsidRDefault="00FE592B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2D18A5" w:rsidRDefault="00FE592B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AF6044" w:rsidRDefault="00FE592B" w:rsidP="00AF604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6900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E592B" w:rsidRDefault="00FE592B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1158C0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</w:t>
            </w:r>
          </w:p>
        </w:tc>
        <w:tc>
          <w:tcPr>
            <w:tcW w:w="992" w:type="dxa"/>
            <w:vAlign w:val="center"/>
          </w:tcPr>
          <w:p w:rsidR="00FE592B" w:rsidRPr="001158C0" w:rsidRDefault="00FE592B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E592B" w:rsidRPr="00AF6044" w:rsidRDefault="00FE592B" w:rsidP="00AF6044">
            <w:pPr>
              <w:rPr>
                <w:sz w:val="16"/>
                <w:szCs w:val="16"/>
              </w:rPr>
            </w:pPr>
          </w:p>
        </w:tc>
      </w:tr>
      <w:tr w:rsidR="00FE592B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FE592B" w:rsidRDefault="00FE592B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Default="00FE592B" w:rsidP="004870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E592B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  <w:tr w:rsidR="00FE592B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FE592B" w:rsidRDefault="00FE592B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E592B" w:rsidRPr="007E35ED" w:rsidRDefault="00FE592B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7E35ED" w:rsidRDefault="00FE592B" w:rsidP="0048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92B" w:rsidRPr="002347E9" w:rsidRDefault="00FE592B" w:rsidP="0048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8421,9</w:t>
            </w:r>
          </w:p>
        </w:tc>
        <w:tc>
          <w:tcPr>
            <w:tcW w:w="992" w:type="dxa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7E35ED" w:rsidRDefault="00A23263" w:rsidP="0048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9517,2</w:t>
            </w:r>
          </w:p>
        </w:tc>
        <w:tc>
          <w:tcPr>
            <w:tcW w:w="850" w:type="dxa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7E35ED" w:rsidRDefault="00A23263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9517,6</w:t>
            </w:r>
          </w:p>
        </w:tc>
        <w:tc>
          <w:tcPr>
            <w:tcW w:w="850" w:type="dxa"/>
            <w:vAlign w:val="center"/>
          </w:tcPr>
          <w:p w:rsidR="00FE592B" w:rsidRPr="007E35ED" w:rsidRDefault="00FE592B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592B" w:rsidRPr="007E35ED" w:rsidRDefault="00A23263" w:rsidP="005F5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9517,6</w:t>
            </w:r>
          </w:p>
        </w:tc>
        <w:tc>
          <w:tcPr>
            <w:tcW w:w="1276" w:type="dxa"/>
            <w:shd w:val="clear" w:color="auto" w:fill="auto"/>
          </w:tcPr>
          <w:p w:rsidR="00FE592B" w:rsidRPr="002D18A5" w:rsidRDefault="00FE592B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AF6044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14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F526C" w:rsidRDefault="005F526C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FC297F" w:rsidRPr="006E262B" w:rsidRDefault="005B1E14" w:rsidP="00E21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E215EC"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 xml:space="preserve">    </w:t>
            </w:r>
            <w:r w:rsidR="00FC297F" w:rsidRPr="006E262B">
              <w:rPr>
                <w:color w:val="000000"/>
              </w:rPr>
              <w:t>Приложение №</w:t>
            </w:r>
            <w:r w:rsidR="00FC297F">
              <w:rPr>
                <w:color w:val="000000"/>
              </w:rPr>
              <w:t>7</w:t>
            </w:r>
          </w:p>
        </w:tc>
      </w:tr>
      <w:tr w:rsidR="00FC297F" w:rsidRPr="003A2757" w:rsidTr="00AF6044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</w:t>
            </w:r>
            <w:r w:rsidR="005B1E14">
              <w:rPr>
                <w:color w:val="000000"/>
              </w:rPr>
              <w:t xml:space="preserve">   </w:t>
            </w:r>
            <w:r w:rsidR="009770E5">
              <w:rPr>
                <w:color w:val="000000"/>
              </w:rPr>
              <w:t xml:space="preserve">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90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89"/>
        <w:gridCol w:w="1523"/>
      </w:tblGrid>
      <w:tr w:rsidR="006D4A02" w:rsidRPr="000E14B9" w:rsidTr="007A7D64">
        <w:trPr>
          <w:trHeight w:val="483"/>
        </w:trPr>
        <w:tc>
          <w:tcPr>
            <w:tcW w:w="1723" w:type="dxa"/>
            <w:vMerge w:val="restart"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11" w:type="dxa"/>
            <w:gridSpan w:val="4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3607E6" w:rsidRPr="000E14B9" w:rsidTr="003607E6">
        <w:trPr>
          <w:trHeight w:val="934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607E6" w:rsidRDefault="003607E6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2024 год</w:t>
            </w:r>
          </w:p>
          <w:p w:rsidR="003607E6" w:rsidRPr="008F2539" w:rsidRDefault="003607E6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607E6" w:rsidRPr="008F2539" w:rsidRDefault="003607E6" w:rsidP="007151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2025год</w:t>
            </w:r>
          </w:p>
        </w:tc>
        <w:tc>
          <w:tcPr>
            <w:tcW w:w="1489" w:type="dxa"/>
            <w:hideMark/>
          </w:tcPr>
          <w:p w:rsidR="003607E6" w:rsidRDefault="003607E6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3607E6" w:rsidRPr="008F2539" w:rsidRDefault="003607E6" w:rsidP="007151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  <w:tc>
          <w:tcPr>
            <w:tcW w:w="1523" w:type="dxa"/>
          </w:tcPr>
          <w:p w:rsidR="003607E6" w:rsidRDefault="003607E6" w:rsidP="007A7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3607E6" w:rsidRPr="008F2539" w:rsidRDefault="003607E6" w:rsidP="003607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2027год</w:t>
            </w: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 w:val="restart"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1472B2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136836,5</w:t>
            </w:r>
          </w:p>
        </w:tc>
        <w:tc>
          <w:tcPr>
            <w:tcW w:w="1418" w:type="dxa"/>
            <w:noWrap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70694,3</w:t>
            </w:r>
          </w:p>
        </w:tc>
        <w:tc>
          <w:tcPr>
            <w:tcW w:w="1489" w:type="dxa"/>
            <w:noWrap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58509,2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58509,2</w:t>
            </w: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91323,3</w:t>
            </w:r>
          </w:p>
        </w:tc>
        <w:tc>
          <w:tcPr>
            <w:tcW w:w="1418" w:type="dxa"/>
            <w:noWrap/>
          </w:tcPr>
          <w:p w:rsidR="006D4A02" w:rsidRPr="00584BB8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584BB8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584BB8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45513,2</w:t>
            </w:r>
          </w:p>
        </w:tc>
        <w:tc>
          <w:tcPr>
            <w:tcW w:w="1418" w:type="dxa"/>
            <w:noWrap/>
          </w:tcPr>
          <w:p w:rsidR="006D4A02" w:rsidRPr="00B922A2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39000,9</w:t>
            </w:r>
          </w:p>
        </w:tc>
        <w:tc>
          <w:tcPr>
            <w:tcW w:w="1489" w:type="dxa"/>
            <w:noWrap/>
          </w:tcPr>
          <w:p w:rsidR="006D4A02" w:rsidRPr="00B922A2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26815,8</w:t>
            </w:r>
          </w:p>
        </w:tc>
        <w:tc>
          <w:tcPr>
            <w:tcW w:w="1523" w:type="dxa"/>
          </w:tcPr>
          <w:p w:rsidR="006D4A02" w:rsidRPr="00B922A2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26815,8</w:t>
            </w:r>
          </w:p>
        </w:tc>
      </w:tr>
      <w:tr w:rsidR="003607E6" w:rsidRPr="000E14B9" w:rsidTr="003607E6">
        <w:trPr>
          <w:trHeight w:val="36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6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9D124C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136836,5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70694,3</w:t>
            </w:r>
          </w:p>
        </w:tc>
        <w:tc>
          <w:tcPr>
            <w:tcW w:w="1489" w:type="dxa"/>
            <w:noWrap/>
          </w:tcPr>
          <w:p w:rsidR="006D4A02" w:rsidRPr="000E14B9" w:rsidRDefault="006D4A02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58509,2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58509,2</w:t>
            </w: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9B624E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91323,3</w:t>
            </w:r>
          </w:p>
        </w:tc>
        <w:tc>
          <w:tcPr>
            <w:tcW w:w="1418" w:type="dxa"/>
            <w:noWrap/>
          </w:tcPr>
          <w:p w:rsidR="006D4A02" w:rsidRPr="00584BB8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584BB8" w:rsidRDefault="006D4A02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584BB8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6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9B624E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45513,2</w:t>
            </w:r>
          </w:p>
        </w:tc>
        <w:tc>
          <w:tcPr>
            <w:tcW w:w="1418" w:type="dxa"/>
            <w:noWrap/>
          </w:tcPr>
          <w:p w:rsidR="006D4A02" w:rsidRPr="00B922A2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39000,9</w:t>
            </w:r>
          </w:p>
        </w:tc>
        <w:tc>
          <w:tcPr>
            <w:tcW w:w="1489" w:type="dxa"/>
            <w:noWrap/>
          </w:tcPr>
          <w:p w:rsidR="006D4A02" w:rsidRPr="00B922A2" w:rsidRDefault="006D4A02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26815,8</w:t>
            </w:r>
          </w:p>
        </w:tc>
        <w:tc>
          <w:tcPr>
            <w:tcW w:w="1523" w:type="dxa"/>
          </w:tcPr>
          <w:p w:rsidR="006D4A02" w:rsidRPr="00B922A2" w:rsidRDefault="006D4A02" w:rsidP="007A7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26815,8</w:t>
            </w:r>
          </w:p>
        </w:tc>
      </w:tr>
      <w:tr w:rsidR="003607E6" w:rsidRPr="000E14B9" w:rsidTr="003607E6">
        <w:trPr>
          <w:trHeight w:val="36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6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0E14B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3607E6" w:rsidRPr="000E14B9" w:rsidRDefault="003607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Модернизация, реконструкция, капитальный ремонт 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69058,9</w:t>
            </w:r>
          </w:p>
        </w:tc>
        <w:tc>
          <w:tcPr>
            <w:tcW w:w="1418" w:type="dxa"/>
            <w:noWrap/>
          </w:tcPr>
          <w:p w:rsidR="003607E6" w:rsidRPr="00077201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15863,7</w:t>
            </w:r>
            <w:r w:rsidRPr="0007720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3607E6" w:rsidRPr="00077201" w:rsidRDefault="003607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23" w:type="dxa"/>
          </w:tcPr>
          <w:p w:rsidR="003607E6" w:rsidRPr="00077201" w:rsidRDefault="006D4A0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22346,8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15863,7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517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69058,9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269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273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277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7A7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7A7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3607E6" w:rsidRPr="000E14B9" w:rsidRDefault="003607E6" w:rsidP="007A7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846,3</w:t>
            </w:r>
          </w:p>
        </w:tc>
        <w:tc>
          <w:tcPr>
            <w:tcW w:w="1489" w:type="dxa"/>
            <w:noWrap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277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3E3942" w:rsidRDefault="003607E6" w:rsidP="007A7D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277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3E3942" w:rsidRDefault="003607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3607E6" w:rsidRPr="003E3942" w:rsidRDefault="003607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3607E6" w:rsidRPr="003E3942" w:rsidRDefault="003607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3607E6" w:rsidRPr="003E3942" w:rsidRDefault="003607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3607E6" w:rsidRPr="003E3942" w:rsidRDefault="003607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22346,8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3705,2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277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3E3942" w:rsidRDefault="003607E6" w:rsidP="007A7D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3607E6" w:rsidRPr="003E3942" w:rsidRDefault="003607E6" w:rsidP="007A7D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3607E6" w:rsidRPr="003E3942" w:rsidRDefault="003607E6" w:rsidP="007A7D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3607E6" w:rsidRPr="003607E6" w:rsidRDefault="003607E6" w:rsidP="007A7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41" w:type="dxa"/>
          </w:tcPr>
          <w:p w:rsidR="003607E6" w:rsidRDefault="003607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7427,2</w:t>
            </w:r>
          </w:p>
        </w:tc>
        <w:tc>
          <w:tcPr>
            <w:tcW w:w="1489" w:type="dxa"/>
            <w:noWrap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408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515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 w:val="restart"/>
            <w:hideMark/>
          </w:tcPr>
          <w:p w:rsidR="003607E6" w:rsidRPr="000E14B9" w:rsidRDefault="003607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77201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  <w:hideMark/>
          </w:tcPr>
          <w:p w:rsidR="003607E6" w:rsidRPr="00077201" w:rsidRDefault="003607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Pr="00077201" w:rsidRDefault="006D4A02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607E6" w:rsidRPr="009D0CAF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  <w:hideMark/>
          </w:tcPr>
          <w:p w:rsidR="003607E6" w:rsidRPr="009D0CAF" w:rsidRDefault="003607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Pr="009D0CAF" w:rsidRDefault="006D4A02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9C3C85" w:rsidRDefault="003607E6" w:rsidP="003E2791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9C3C85" w:rsidRDefault="003607E6" w:rsidP="003E2791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 w:val="restart"/>
            <w:hideMark/>
          </w:tcPr>
          <w:p w:rsidR="003607E6" w:rsidRPr="000E14B9" w:rsidRDefault="003607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16339,6</w:t>
            </w:r>
          </w:p>
        </w:tc>
        <w:tc>
          <w:tcPr>
            <w:tcW w:w="1418" w:type="dxa"/>
            <w:noWrap/>
          </w:tcPr>
          <w:p w:rsidR="003607E6" w:rsidRPr="009D0CAF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13620,0</w:t>
            </w:r>
          </w:p>
        </w:tc>
        <w:tc>
          <w:tcPr>
            <w:tcW w:w="1489" w:type="dxa"/>
            <w:noWrap/>
            <w:hideMark/>
          </w:tcPr>
          <w:p w:rsidR="003607E6" w:rsidRPr="009D0CAF" w:rsidRDefault="003607E6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17298,6</w:t>
            </w:r>
          </w:p>
        </w:tc>
        <w:tc>
          <w:tcPr>
            <w:tcW w:w="1523" w:type="dxa"/>
          </w:tcPr>
          <w:p w:rsidR="003607E6" w:rsidRDefault="003607E6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17298,6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14744,5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13620,0</w:t>
            </w:r>
          </w:p>
        </w:tc>
        <w:tc>
          <w:tcPr>
            <w:tcW w:w="1489" w:type="dxa"/>
            <w:noWrap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  <w:tc>
          <w:tcPr>
            <w:tcW w:w="1523" w:type="dxa"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16339,6</w:t>
            </w:r>
          </w:p>
        </w:tc>
        <w:tc>
          <w:tcPr>
            <w:tcW w:w="1418" w:type="dxa"/>
            <w:noWrap/>
          </w:tcPr>
          <w:p w:rsidR="003607E6" w:rsidRPr="009D0CAF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13620,0</w:t>
            </w:r>
          </w:p>
        </w:tc>
        <w:tc>
          <w:tcPr>
            <w:tcW w:w="1489" w:type="dxa"/>
            <w:noWrap/>
            <w:hideMark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  <w:tc>
          <w:tcPr>
            <w:tcW w:w="1523" w:type="dxa"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D4183C" w:rsidRDefault="003607E6" w:rsidP="003E2791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hideMark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3607E6" w:rsidRDefault="003607E6" w:rsidP="00FC297F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P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3607E6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14744,5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13620,0</w:t>
            </w:r>
          </w:p>
        </w:tc>
        <w:tc>
          <w:tcPr>
            <w:tcW w:w="1489" w:type="dxa"/>
            <w:noWrap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  <w:tc>
          <w:tcPr>
            <w:tcW w:w="1523" w:type="dxa"/>
          </w:tcPr>
          <w:p w:rsidR="003607E6" w:rsidRPr="003607E6" w:rsidRDefault="003607E6" w:rsidP="007A7D64">
            <w:pPr>
              <w:jc w:val="center"/>
              <w:rPr>
                <w:sz w:val="20"/>
                <w:szCs w:val="20"/>
              </w:rPr>
            </w:pPr>
            <w:r w:rsidRPr="003607E6">
              <w:rPr>
                <w:sz w:val="20"/>
                <w:szCs w:val="20"/>
              </w:rPr>
              <w:t>17298,6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18438,0</w:t>
            </w:r>
          </w:p>
        </w:tc>
        <w:tc>
          <w:tcPr>
            <w:tcW w:w="1418" w:type="dxa"/>
            <w:noWrap/>
          </w:tcPr>
          <w:p w:rsidR="003607E6" w:rsidRPr="009D0CAF" w:rsidRDefault="003607E6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9517,2</w:t>
            </w:r>
          </w:p>
        </w:tc>
        <w:tc>
          <w:tcPr>
            <w:tcW w:w="1489" w:type="dxa"/>
            <w:noWrap/>
          </w:tcPr>
          <w:p w:rsidR="003607E6" w:rsidRPr="009D0CAF" w:rsidRDefault="003607E6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9517,2</w:t>
            </w:r>
          </w:p>
        </w:tc>
        <w:tc>
          <w:tcPr>
            <w:tcW w:w="1523" w:type="dxa"/>
          </w:tcPr>
          <w:p w:rsidR="003607E6" w:rsidRDefault="003607E6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9517,2</w:t>
            </w: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607E6" w:rsidRPr="000E14B9" w:rsidTr="003607E6">
        <w:trPr>
          <w:trHeight w:val="300"/>
        </w:trPr>
        <w:tc>
          <w:tcPr>
            <w:tcW w:w="1723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607E6" w:rsidRPr="000E14B9" w:rsidRDefault="003607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607E6" w:rsidRPr="000E14B9" w:rsidRDefault="003607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607E6" w:rsidRPr="002347E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10016,1</w:t>
            </w:r>
          </w:p>
        </w:tc>
        <w:tc>
          <w:tcPr>
            <w:tcW w:w="1418" w:type="dxa"/>
            <w:noWrap/>
          </w:tcPr>
          <w:p w:rsidR="003607E6" w:rsidRPr="000E14B9" w:rsidRDefault="003607E6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3607E6" w:rsidRPr="000E14B9" w:rsidRDefault="003607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3607E6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8421,9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  <w:tc>
          <w:tcPr>
            <w:tcW w:w="1489" w:type="dxa"/>
            <w:noWrap/>
          </w:tcPr>
          <w:p w:rsidR="006D4A02" w:rsidRPr="000E14B9" w:rsidRDefault="006D4A02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D4183C" w:rsidRDefault="006D4A02" w:rsidP="003E2791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D4183C" w:rsidRDefault="006D4A02" w:rsidP="003E2791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D4183C" w:rsidRDefault="006D4A02" w:rsidP="003E279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18438,0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  <w:tc>
          <w:tcPr>
            <w:tcW w:w="1489" w:type="dxa"/>
            <w:noWrap/>
          </w:tcPr>
          <w:p w:rsidR="006D4A02" w:rsidRPr="000E14B9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9517,2</w:t>
            </w:r>
          </w:p>
        </w:tc>
      </w:tr>
      <w:tr w:rsidR="006D4A02" w:rsidRPr="000E14B9" w:rsidTr="003607E6">
        <w:trPr>
          <w:trHeight w:val="155"/>
        </w:trPr>
        <w:tc>
          <w:tcPr>
            <w:tcW w:w="1723" w:type="dxa"/>
            <w:vMerge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hideMark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0450082050</w:t>
            </w: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3F0FB5" w:rsidRDefault="006D4A02" w:rsidP="007F2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0450086660</w:t>
            </w: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6D4A02" w:rsidRPr="000E14B9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Default="006D4A02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41" w:type="dxa"/>
          </w:tcPr>
          <w:p w:rsidR="006D4A02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256,9</w:t>
            </w:r>
          </w:p>
        </w:tc>
        <w:tc>
          <w:tcPr>
            <w:tcW w:w="1418" w:type="dxa"/>
            <w:noWrap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6D4A02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Default="006D4A02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707,7</w:t>
            </w:r>
          </w:p>
        </w:tc>
        <w:tc>
          <w:tcPr>
            <w:tcW w:w="1418" w:type="dxa"/>
            <w:noWrap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9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</w:tcPr>
          <w:p w:rsidR="006D4A02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3457,4</w:t>
            </w:r>
          </w:p>
        </w:tc>
        <w:tc>
          <w:tcPr>
            <w:tcW w:w="1418" w:type="dxa"/>
            <w:noWrap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4944,0</w:t>
            </w:r>
          </w:p>
        </w:tc>
        <w:tc>
          <w:tcPr>
            <w:tcW w:w="1489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5644,0</w:t>
            </w:r>
          </w:p>
        </w:tc>
        <w:tc>
          <w:tcPr>
            <w:tcW w:w="1523" w:type="dxa"/>
          </w:tcPr>
          <w:p w:rsidR="006D4A02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5644,0</w:t>
            </w:r>
          </w:p>
        </w:tc>
      </w:tr>
      <w:tr w:rsidR="006D4A02" w:rsidRPr="000E14B9" w:rsidTr="003607E6">
        <w:trPr>
          <w:trHeight w:val="129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3873,2</w:t>
            </w:r>
          </w:p>
        </w:tc>
        <w:tc>
          <w:tcPr>
            <w:tcW w:w="1418" w:type="dxa"/>
            <w:noWrap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489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23" w:type="dxa"/>
          </w:tcPr>
          <w:p w:rsidR="006D4A02" w:rsidRDefault="006D4A02" w:rsidP="007A7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0E14B9" w:rsidRDefault="006D4A02" w:rsidP="008D0E76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2250,0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0E14B9" w:rsidRDefault="006D4A02" w:rsidP="00CA2532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7F252A" w:rsidRDefault="006D4A02" w:rsidP="003E2791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22,7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0E14B9" w:rsidRDefault="006D4A02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6D4A02" w:rsidRPr="000E14B9" w:rsidRDefault="006D4A02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6D4A02" w:rsidRPr="000E14B9" w:rsidRDefault="006D4A02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6D4A02" w:rsidRPr="000E14B9" w:rsidRDefault="006D4A02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6D4A02" w:rsidRPr="000E14B9" w:rsidRDefault="006D4A02" w:rsidP="00321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7766,1</w:t>
            </w: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866635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Default="006D4A02" w:rsidP="00FC2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18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284"/>
        </w:trPr>
        <w:tc>
          <w:tcPr>
            <w:tcW w:w="1723" w:type="dxa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 w:val="restart"/>
          </w:tcPr>
          <w:p w:rsidR="006D4A02" w:rsidRDefault="006D4A02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C23641" w:rsidRDefault="006D4A02" w:rsidP="003E2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C23641" w:rsidRDefault="006D4A02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Default="006D4A02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2347E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6D4A02" w:rsidRPr="000E14B9" w:rsidRDefault="006D4A02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6D4A02" w:rsidRPr="000E14B9" w:rsidRDefault="006D4A0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6D4A02" w:rsidRPr="000E14B9" w:rsidRDefault="006D4A0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6D4A02" w:rsidRPr="000E14B9" w:rsidRDefault="006D4A0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 w:val="restart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6D4A02" w:rsidRPr="009D0CAF" w:rsidRDefault="006D4A02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</w:t>
            </w:r>
            <w:r w:rsidRPr="009D0CAF">
              <w:rPr>
                <w:sz w:val="20"/>
                <w:szCs w:val="20"/>
              </w:rPr>
              <w:lastRenderedPageBreak/>
              <w:t xml:space="preserve">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C23641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8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489" w:type="dxa"/>
            <w:noWrap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  <w:tc>
          <w:tcPr>
            <w:tcW w:w="1523" w:type="dxa"/>
          </w:tcPr>
          <w:p w:rsidR="006D4A02" w:rsidRPr="006D4A02" w:rsidRDefault="006D4A02" w:rsidP="007A7D64">
            <w:pPr>
              <w:jc w:val="center"/>
              <w:rPr>
                <w:sz w:val="20"/>
                <w:szCs w:val="20"/>
              </w:rPr>
            </w:pPr>
            <w:r w:rsidRPr="006D4A02">
              <w:rPr>
                <w:sz w:val="20"/>
                <w:szCs w:val="20"/>
              </w:rPr>
              <w:t>31693,4</w:t>
            </w: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RPr="000E14B9" w:rsidTr="003607E6">
        <w:trPr>
          <w:trHeight w:val="300"/>
        </w:trPr>
        <w:tc>
          <w:tcPr>
            <w:tcW w:w="1723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Pr="000E14B9" w:rsidRDefault="006D4A02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D4A02" w:rsidRPr="000E14B9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0E14B9" w:rsidRDefault="006D4A02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 w:val="restart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6D4A02" w:rsidRDefault="006D4A02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финансовое обеспечение (возмещение) затрат 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6D4A02" w:rsidRPr="000E14B9" w:rsidRDefault="006D4A02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Pr="00A0212D" w:rsidRDefault="006D4A02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Pr="00A0212D" w:rsidRDefault="006D4A02" w:rsidP="003E2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Pr="00A0212D" w:rsidRDefault="006D4A02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Pr="00A0212D" w:rsidRDefault="006D4A02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6D4A02" w:rsidRPr="000E14B9" w:rsidRDefault="006D4A02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6D4A02" w:rsidTr="003607E6">
        <w:tc>
          <w:tcPr>
            <w:tcW w:w="1723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4A02" w:rsidRDefault="006D4A02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6D4A02" w:rsidRPr="000E14B9" w:rsidRDefault="006D4A02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4A02" w:rsidRDefault="006D4A02" w:rsidP="003E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D4A02" w:rsidRDefault="006D4A02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9464C4">
      <w:pgSz w:w="16838" w:h="11906" w:orient="landscape" w:code="9"/>
      <w:pgMar w:top="312" w:right="539" w:bottom="289" w:left="425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887" w:rsidRDefault="00FA6887">
      <w:r>
        <w:separator/>
      </w:r>
    </w:p>
  </w:endnote>
  <w:endnote w:type="continuationSeparator" w:id="0">
    <w:p w:rsidR="00FA6887" w:rsidRDefault="00FA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83A" w:rsidRDefault="0091483A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483A" w:rsidRDefault="0091483A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83A" w:rsidRDefault="0091483A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83A" w:rsidRDefault="0091483A">
    <w:pPr>
      <w:pStyle w:val="a9"/>
      <w:rPr>
        <w:lang w:val="ru-RU"/>
      </w:rPr>
    </w:pPr>
  </w:p>
  <w:p w:rsidR="0091483A" w:rsidRDefault="0091483A">
    <w:pPr>
      <w:pStyle w:val="a9"/>
      <w:rPr>
        <w:lang w:val="ru-RU"/>
      </w:rPr>
    </w:pPr>
  </w:p>
  <w:p w:rsidR="0091483A" w:rsidRPr="009F6FFC" w:rsidRDefault="0091483A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887" w:rsidRDefault="00FA6887">
      <w:r>
        <w:separator/>
      </w:r>
    </w:p>
  </w:footnote>
  <w:footnote w:type="continuationSeparator" w:id="0">
    <w:p w:rsidR="00FA6887" w:rsidRDefault="00FA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83A" w:rsidRDefault="0091483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5BE4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1D7"/>
    <w:rsid w:val="0003341F"/>
    <w:rsid w:val="00037549"/>
    <w:rsid w:val="00037A13"/>
    <w:rsid w:val="0004019E"/>
    <w:rsid w:val="00040659"/>
    <w:rsid w:val="00043A03"/>
    <w:rsid w:val="00045957"/>
    <w:rsid w:val="000459B9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50E1"/>
    <w:rsid w:val="00066725"/>
    <w:rsid w:val="00066936"/>
    <w:rsid w:val="00066ABF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114"/>
    <w:rsid w:val="00086975"/>
    <w:rsid w:val="000906E9"/>
    <w:rsid w:val="0009192F"/>
    <w:rsid w:val="000923A0"/>
    <w:rsid w:val="00092769"/>
    <w:rsid w:val="000949A9"/>
    <w:rsid w:val="0009529D"/>
    <w:rsid w:val="000957ED"/>
    <w:rsid w:val="000960F9"/>
    <w:rsid w:val="00096FBD"/>
    <w:rsid w:val="000A1E30"/>
    <w:rsid w:val="000A3B9C"/>
    <w:rsid w:val="000A40D6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289F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AC1"/>
    <w:rsid w:val="00156D0E"/>
    <w:rsid w:val="001579A3"/>
    <w:rsid w:val="0016116D"/>
    <w:rsid w:val="00162259"/>
    <w:rsid w:val="00165CC2"/>
    <w:rsid w:val="001702F5"/>
    <w:rsid w:val="00171A28"/>
    <w:rsid w:val="00171B05"/>
    <w:rsid w:val="00171C3C"/>
    <w:rsid w:val="0017432D"/>
    <w:rsid w:val="00174F4E"/>
    <w:rsid w:val="00175040"/>
    <w:rsid w:val="00176002"/>
    <w:rsid w:val="001762E1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5296"/>
    <w:rsid w:val="001A65BA"/>
    <w:rsid w:val="001A680B"/>
    <w:rsid w:val="001B0693"/>
    <w:rsid w:val="001B2570"/>
    <w:rsid w:val="001B37D4"/>
    <w:rsid w:val="001B5862"/>
    <w:rsid w:val="001B6906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0163"/>
    <w:rsid w:val="001F39BA"/>
    <w:rsid w:val="001F3CA0"/>
    <w:rsid w:val="001F5DBF"/>
    <w:rsid w:val="001F74C4"/>
    <w:rsid w:val="00200386"/>
    <w:rsid w:val="00200FE4"/>
    <w:rsid w:val="002016AE"/>
    <w:rsid w:val="00201C26"/>
    <w:rsid w:val="0020310C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540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57209"/>
    <w:rsid w:val="00261B54"/>
    <w:rsid w:val="00262532"/>
    <w:rsid w:val="002627EC"/>
    <w:rsid w:val="0026292C"/>
    <w:rsid w:val="00263701"/>
    <w:rsid w:val="00266B30"/>
    <w:rsid w:val="00272053"/>
    <w:rsid w:val="00272733"/>
    <w:rsid w:val="0027326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499"/>
    <w:rsid w:val="002A69DA"/>
    <w:rsid w:val="002A6EE2"/>
    <w:rsid w:val="002B0573"/>
    <w:rsid w:val="002B0CFF"/>
    <w:rsid w:val="002B146A"/>
    <w:rsid w:val="002B2048"/>
    <w:rsid w:val="002B593A"/>
    <w:rsid w:val="002B5B21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7F0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E7E8C"/>
    <w:rsid w:val="002F0F0A"/>
    <w:rsid w:val="002F1B10"/>
    <w:rsid w:val="002F376F"/>
    <w:rsid w:val="002F4660"/>
    <w:rsid w:val="002F5531"/>
    <w:rsid w:val="002F5F3B"/>
    <w:rsid w:val="002F693C"/>
    <w:rsid w:val="00305611"/>
    <w:rsid w:val="00305FF5"/>
    <w:rsid w:val="003060A1"/>
    <w:rsid w:val="00307988"/>
    <w:rsid w:val="00310120"/>
    <w:rsid w:val="00312F73"/>
    <w:rsid w:val="00314E24"/>
    <w:rsid w:val="00314E28"/>
    <w:rsid w:val="003161F6"/>
    <w:rsid w:val="00316C7F"/>
    <w:rsid w:val="0031766F"/>
    <w:rsid w:val="00321670"/>
    <w:rsid w:val="00321C49"/>
    <w:rsid w:val="003231FD"/>
    <w:rsid w:val="0033021F"/>
    <w:rsid w:val="00331BE5"/>
    <w:rsid w:val="003332A1"/>
    <w:rsid w:val="0033400D"/>
    <w:rsid w:val="00334A83"/>
    <w:rsid w:val="003357D1"/>
    <w:rsid w:val="00336B77"/>
    <w:rsid w:val="00337340"/>
    <w:rsid w:val="00340BFF"/>
    <w:rsid w:val="00342BB9"/>
    <w:rsid w:val="00344747"/>
    <w:rsid w:val="00345FC4"/>
    <w:rsid w:val="003467AA"/>
    <w:rsid w:val="00347B1B"/>
    <w:rsid w:val="00350E81"/>
    <w:rsid w:val="003518E6"/>
    <w:rsid w:val="00356695"/>
    <w:rsid w:val="003569F3"/>
    <w:rsid w:val="00356F22"/>
    <w:rsid w:val="00357303"/>
    <w:rsid w:val="003574EC"/>
    <w:rsid w:val="003607E6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63B"/>
    <w:rsid w:val="003859CF"/>
    <w:rsid w:val="00386E71"/>
    <w:rsid w:val="00391001"/>
    <w:rsid w:val="003911A6"/>
    <w:rsid w:val="0039164C"/>
    <w:rsid w:val="0039195A"/>
    <w:rsid w:val="00392838"/>
    <w:rsid w:val="003933BF"/>
    <w:rsid w:val="00393899"/>
    <w:rsid w:val="00393D8B"/>
    <w:rsid w:val="00397335"/>
    <w:rsid w:val="003A1894"/>
    <w:rsid w:val="003A1B89"/>
    <w:rsid w:val="003A2757"/>
    <w:rsid w:val="003A2807"/>
    <w:rsid w:val="003A3328"/>
    <w:rsid w:val="003A3497"/>
    <w:rsid w:val="003A3752"/>
    <w:rsid w:val="003A4632"/>
    <w:rsid w:val="003A51F3"/>
    <w:rsid w:val="003A6549"/>
    <w:rsid w:val="003A67BC"/>
    <w:rsid w:val="003B069F"/>
    <w:rsid w:val="003B2BD8"/>
    <w:rsid w:val="003B2D38"/>
    <w:rsid w:val="003B3BD9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4800"/>
    <w:rsid w:val="003D59D8"/>
    <w:rsid w:val="003D6C72"/>
    <w:rsid w:val="003E01C3"/>
    <w:rsid w:val="003E10C2"/>
    <w:rsid w:val="003E274C"/>
    <w:rsid w:val="003E2791"/>
    <w:rsid w:val="003E31C3"/>
    <w:rsid w:val="003E3942"/>
    <w:rsid w:val="003E4184"/>
    <w:rsid w:val="003E443D"/>
    <w:rsid w:val="003E707A"/>
    <w:rsid w:val="003F0FB5"/>
    <w:rsid w:val="003F129C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17C34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87048"/>
    <w:rsid w:val="00491D12"/>
    <w:rsid w:val="004925D0"/>
    <w:rsid w:val="004957FC"/>
    <w:rsid w:val="00497B4A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5C91"/>
    <w:rsid w:val="004B72B5"/>
    <w:rsid w:val="004B7E73"/>
    <w:rsid w:val="004C1BAD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D61A2"/>
    <w:rsid w:val="004D7C34"/>
    <w:rsid w:val="004E2077"/>
    <w:rsid w:val="004E26D0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4F5B"/>
    <w:rsid w:val="00525E29"/>
    <w:rsid w:val="005265A7"/>
    <w:rsid w:val="005266F5"/>
    <w:rsid w:val="00531A8A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3E5"/>
    <w:rsid w:val="005514B0"/>
    <w:rsid w:val="00551C6F"/>
    <w:rsid w:val="00552270"/>
    <w:rsid w:val="005532A9"/>
    <w:rsid w:val="005535AF"/>
    <w:rsid w:val="0055373C"/>
    <w:rsid w:val="005554F1"/>
    <w:rsid w:val="005602CD"/>
    <w:rsid w:val="005632BF"/>
    <w:rsid w:val="0056550B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2570"/>
    <w:rsid w:val="005830D7"/>
    <w:rsid w:val="0058395E"/>
    <w:rsid w:val="00583DB8"/>
    <w:rsid w:val="0058482D"/>
    <w:rsid w:val="00584BB8"/>
    <w:rsid w:val="00585686"/>
    <w:rsid w:val="0058761D"/>
    <w:rsid w:val="005907DE"/>
    <w:rsid w:val="005910D1"/>
    <w:rsid w:val="00591A87"/>
    <w:rsid w:val="00592C13"/>
    <w:rsid w:val="00596508"/>
    <w:rsid w:val="00596D47"/>
    <w:rsid w:val="005A219D"/>
    <w:rsid w:val="005A4064"/>
    <w:rsid w:val="005A5699"/>
    <w:rsid w:val="005A7AF6"/>
    <w:rsid w:val="005B13F3"/>
    <w:rsid w:val="005B161F"/>
    <w:rsid w:val="005B1E14"/>
    <w:rsid w:val="005B1E90"/>
    <w:rsid w:val="005B4ED9"/>
    <w:rsid w:val="005B6DB0"/>
    <w:rsid w:val="005B705E"/>
    <w:rsid w:val="005C07C6"/>
    <w:rsid w:val="005C1651"/>
    <w:rsid w:val="005C327F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526C"/>
    <w:rsid w:val="005F5AC7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69BA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17E3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3692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C92"/>
    <w:rsid w:val="006A6DE7"/>
    <w:rsid w:val="006A763D"/>
    <w:rsid w:val="006A775C"/>
    <w:rsid w:val="006B11EE"/>
    <w:rsid w:val="006B3B81"/>
    <w:rsid w:val="006B734F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4A02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557B"/>
    <w:rsid w:val="006F62F2"/>
    <w:rsid w:val="006F7384"/>
    <w:rsid w:val="0070014F"/>
    <w:rsid w:val="00700C61"/>
    <w:rsid w:val="007010F2"/>
    <w:rsid w:val="00705371"/>
    <w:rsid w:val="007053B6"/>
    <w:rsid w:val="0071094C"/>
    <w:rsid w:val="00712EB8"/>
    <w:rsid w:val="007139C3"/>
    <w:rsid w:val="007146DB"/>
    <w:rsid w:val="007151F2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47894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0484"/>
    <w:rsid w:val="007818E6"/>
    <w:rsid w:val="00781B8F"/>
    <w:rsid w:val="007824C4"/>
    <w:rsid w:val="00782E21"/>
    <w:rsid w:val="00783796"/>
    <w:rsid w:val="00784426"/>
    <w:rsid w:val="007869C7"/>
    <w:rsid w:val="00786E47"/>
    <w:rsid w:val="007909D9"/>
    <w:rsid w:val="007911CD"/>
    <w:rsid w:val="00791379"/>
    <w:rsid w:val="0079198A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A7D64"/>
    <w:rsid w:val="007B01DD"/>
    <w:rsid w:val="007B11BA"/>
    <w:rsid w:val="007B286C"/>
    <w:rsid w:val="007B2C83"/>
    <w:rsid w:val="007B32DB"/>
    <w:rsid w:val="007B4F64"/>
    <w:rsid w:val="007B5C26"/>
    <w:rsid w:val="007B7DD4"/>
    <w:rsid w:val="007B7EB3"/>
    <w:rsid w:val="007C0358"/>
    <w:rsid w:val="007C07A7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387C"/>
    <w:rsid w:val="007E59D2"/>
    <w:rsid w:val="007E71AD"/>
    <w:rsid w:val="007E78AC"/>
    <w:rsid w:val="007F0DC7"/>
    <w:rsid w:val="007F146A"/>
    <w:rsid w:val="007F252A"/>
    <w:rsid w:val="007F2C95"/>
    <w:rsid w:val="007F323E"/>
    <w:rsid w:val="007F3A6C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3CD"/>
    <w:rsid w:val="008244D5"/>
    <w:rsid w:val="00824F53"/>
    <w:rsid w:val="00825AC6"/>
    <w:rsid w:val="00825E64"/>
    <w:rsid w:val="008275A9"/>
    <w:rsid w:val="00832C6A"/>
    <w:rsid w:val="0083321A"/>
    <w:rsid w:val="00833760"/>
    <w:rsid w:val="00833858"/>
    <w:rsid w:val="00834816"/>
    <w:rsid w:val="00835100"/>
    <w:rsid w:val="008372DA"/>
    <w:rsid w:val="00841224"/>
    <w:rsid w:val="00842515"/>
    <w:rsid w:val="008426B2"/>
    <w:rsid w:val="008426F8"/>
    <w:rsid w:val="00844235"/>
    <w:rsid w:val="00844D77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635"/>
    <w:rsid w:val="00866C3F"/>
    <w:rsid w:val="00866D9A"/>
    <w:rsid w:val="00867257"/>
    <w:rsid w:val="00870387"/>
    <w:rsid w:val="0087089E"/>
    <w:rsid w:val="00871224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9657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0E76"/>
    <w:rsid w:val="008D171F"/>
    <w:rsid w:val="008D235D"/>
    <w:rsid w:val="008D6FD6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BFF"/>
    <w:rsid w:val="00905CFA"/>
    <w:rsid w:val="00907E75"/>
    <w:rsid w:val="00907FE1"/>
    <w:rsid w:val="009101EF"/>
    <w:rsid w:val="00911C4A"/>
    <w:rsid w:val="00913C22"/>
    <w:rsid w:val="00913D96"/>
    <w:rsid w:val="009147D9"/>
    <w:rsid w:val="0091483A"/>
    <w:rsid w:val="00916BAE"/>
    <w:rsid w:val="00916BCE"/>
    <w:rsid w:val="00917239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464C4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66F5F"/>
    <w:rsid w:val="00970820"/>
    <w:rsid w:val="009718F5"/>
    <w:rsid w:val="00973E60"/>
    <w:rsid w:val="00973E71"/>
    <w:rsid w:val="009766E9"/>
    <w:rsid w:val="009770E5"/>
    <w:rsid w:val="009774E3"/>
    <w:rsid w:val="00980B07"/>
    <w:rsid w:val="009812A4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87D12"/>
    <w:rsid w:val="00990684"/>
    <w:rsid w:val="00992DBD"/>
    <w:rsid w:val="009931C0"/>
    <w:rsid w:val="00993D2C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410"/>
    <w:rsid w:val="009E155D"/>
    <w:rsid w:val="009E1D49"/>
    <w:rsid w:val="009E3B46"/>
    <w:rsid w:val="009E599F"/>
    <w:rsid w:val="009E5B5E"/>
    <w:rsid w:val="009F17C2"/>
    <w:rsid w:val="009F2042"/>
    <w:rsid w:val="009F3AE6"/>
    <w:rsid w:val="009F4B55"/>
    <w:rsid w:val="009F54D6"/>
    <w:rsid w:val="009F6E73"/>
    <w:rsid w:val="009F6FFC"/>
    <w:rsid w:val="009F79C6"/>
    <w:rsid w:val="00A013B3"/>
    <w:rsid w:val="00A0212D"/>
    <w:rsid w:val="00A04CF6"/>
    <w:rsid w:val="00A0553F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263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1D7"/>
    <w:rsid w:val="00A36874"/>
    <w:rsid w:val="00A41110"/>
    <w:rsid w:val="00A43401"/>
    <w:rsid w:val="00A46FDA"/>
    <w:rsid w:val="00A50B9C"/>
    <w:rsid w:val="00A52DE1"/>
    <w:rsid w:val="00A60307"/>
    <w:rsid w:val="00A6131C"/>
    <w:rsid w:val="00A648F2"/>
    <w:rsid w:val="00A652C4"/>
    <w:rsid w:val="00A720AD"/>
    <w:rsid w:val="00A72563"/>
    <w:rsid w:val="00A72E1E"/>
    <w:rsid w:val="00A75EB8"/>
    <w:rsid w:val="00A762E6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86D79"/>
    <w:rsid w:val="00A909AC"/>
    <w:rsid w:val="00A91860"/>
    <w:rsid w:val="00A92A81"/>
    <w:rsid w:val="00A94FD6"/>
    <w:rsid w:val="00AA13EB"/>
    <w:rsid w:val="00AA2FD3"/>
    <w:rsid w:val="00AA3CDB"/>
    <w:rsid w:val="00AA537F"/>
    <w:rsid w:val="00AA5637"/>
    <w:rsid w:val="00AA5CA6"/>
    <w:rsid w:val="00AB12DC"/>
    <w:rsid w:val="00AB1808"/>
    <w:rsid w:val="00AB1C73"/>
    <w:rsid w:val="00AB50E3"/>
    <w:rsid w:val="00AB66B1"/>
    <w:rsid w:val="00AC1466"/>
    <w:rsid w:val="00AC17C7"/>
    <w:rsid w:val="00AC2455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1C46"/>
    <w:rsid w:val="00AE3168"/>
    <w:rsid w:val="00AE4379"/>
    <w:rsid w:val="00AE57AD"/>
    <w:rsid w:val="00AF0987"/>
    <w:rsid w:val="00AF2AF0"/>
    <w:rsid w:val="00AF390A"/>
    <w:rsid w:val="00AF6044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6D63"/>
    <w:rsid w:val="00B2708E"/>
    <w:rsid w:val="00B27457"/>
    <w:rsid w:val="00B32EC3"/>
    <w:rsid w:val="00B3324F"/>
    <w:rsid w:val="00B34AA4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655"/>
    <w:rsid w:val="00B469B8"/>
    <w:rsid w:val="00B51AD2"/>
    <w:rsid w:val="00B535DA"/>
    <w:rsid w:val="00B560D2"/>
    <w:rsid w:val="00B562E0"/>
    <w:rsid w:val="00B60EE8"/>
    <w:rsid w:val="00B642CD"/>
    <w:rsid w:val="00B6581A"/>
    <w:rsid w:val="00B67548"/>
    <w:rsid w:val="00B675BA"/>
    <w:rsid w:val="00B709AB"/>
    <w:rsid w:val="00B71A4B"/>
    <w:rsid w:val="00B7236E"/>
    <w:rsid w:val="00B7319A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653B"/>
    <w:rsid w:val="00B86A32"/>
    <w:rsid w:val="00B87349"/>
    <w:rsid w:val="00B8796D"/>
    <w:rsid w:val="00B91569"/>
    <w:rsid w:val="00B922A2"/>
    <w:rsid w:val="00B93131"/>
    <w:rsid w:val="00B95326"/>
    <w:rsid w:val="00B96441"/>
    <w:rsid w:val="00BA3962"/>
    <w:rsid w:val="00BA3E67"/>
    <w:rsid w:val="00BA3EB4"/>
    <w:rsid w:val="00BA4476"/>
    <w:rsid w:val="00BA65D1"/>
    <w:rsid w:val="00BA777D"/>
    <w:rsid w:val="00BB0E9C"/>
    <w:rsid w:val="00BB3617"/>
    <w:rsid w:val="00BB5614"/>
    <w:rsid w:val="00BC081A"/>
    <w:rsid w:val="00BC1762"/>
    <w:rsid w:val="00BC1D07"/>
    <w:rsid w:val="00BC4275"/>
    <w:rsid w:val="00BC42A3"/>
    <w:rsid w:val="00BC46FF"/>
    <w:rsid w:val="00BC575F"/>
    <w:rsid w:val="00BC7557"/>
    <w:rsid w:val="00BC7DCB"/>
    <w:rsid w:val="00BD25B1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6F4E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09B4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1782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2532"/>
    <w:rsid w:val="00CA62DD"/>
    <w:rsid w:val="00CB10C8"/>
    <w:rsid w:val="00CB186B"/>
    <w:rsid w:val="00CB2285"/>
    <w:rsid w:val="00CB23DC"/>
    <w:rsid w:val="00CB2A2A"/>
    <w:rsid w:val="00CB2E63"/>
    <w:rsid w:val="00CB336E"/>
    <w:rsid w:val="00CB3F22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3AFC"/>
    <w:rsid w:val="00CD605F"/>
    <w:rsid w:val="00CD647F"/>
    <w:rsid w:val="00CE5492"/>
    <w:rsid w:val="00CE6228"/>
    <w:rsid w:val="00CE7C74"/>
    <w:rsid w:val="00CF3359"/>
    <w:rsid w:val="00CF375A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644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3175"/>
    <w:rsid w:val="00D346F5"/>
    <w:rsid w:val="00D3495F"/>
    <w:rsid w:val="00D4183C"/>
    <w:rsid w:val="00D444CA"/>
    <w:rsid w:val="00D47C93"/>
    <w:rsid w:val="00D52A98"/>
    <w:rsid w:val="00D53627"/>
    <w:rsid w:val="00D53678"/>
    <w:rsid w:val="00D556C7"/>
    <w:rsid w:val="00D55C57"/>
    <w:rsid w:val="00D57A75"/>
    <w:rsid w:val="00D6097D"/>
    <w:rsid w:val="00D61297"/>
    <w:rsid w:val="00D63BB6"/>
    <w:rsid w:val="00D6738C"/>
    <w:rsid w:val="00D72F30"/>
    <w:rsid w:val="00D74198"/>
    <w:rsid w:val="00D749CA"/>
    <w:rsid w:val="00D756A3"/>
    <w:rsid w:val="00D8025B"/>
    <w:rsid w:val="00D805A1"/>
    <w:rsid w:val="00D8312C"/>
    <w:rsid w:val="00D8358A"/>
    <w:rsid w:val="00D85BD9"/>
    <w:rsid w:val="00D862C0"/>
    <w:rsid w:val="00D90E81"/>
    <w:rsid w:val="00D9569D"/>
    <w:rsid w:val="00D964BD"/>
    <w:rsid w:val="00D96B27"/>
    <w:rsid w:val="00DA0358"/>
    <w:rsid w:val="00DA06E9"/>
    <w:rsid w:val="00DA1594"/>
    <w:rsid w:val="00DA6C21"/>
    <w:rsid w:val="00DB0431"/>
    <w:rsid w:val="00DB0C71"/>
    <w:rsid w:val="00DB0D4C"/>
    <w:rsid w:val="00DB1334"/>
    <w:rsid w:val="00DB1C6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679E"/>
    <w:rsid w:val="00DE7D5E"/>
    <w:rsid w:val="00DF0E63"/>
    <w:rsid w:val="00DF0ED8"/>
    <w:rsid w:val="00DF0FE4"/>
    <w:rsid w:val="00DF1357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15EC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083E"/>
    <w:rsid w:val="00E468B5"/>
    <w:rsid w:val="00E46AED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16E1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0EF0"/>
    <w:rsid w:val="00EA2099"/>
    <w:rsid w:val="00EA3D45"/>
    <w:rsid w:val="00EA5E0F"/>
    <w:rsid w:val="00EA7566"/>
    <w:rsid w:val="00EB24E9"/>
    <w:rsid w:val="00EB656E"/>
    <w:rsid w:val="00EB7203"/>
    <w:rsid w:val="00EB75AA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EF7818"/>
    <w:rsid w:val="00F01183"/>
    <w:rsid w:val="00F0208F"/>
    <w:rsid w:val="00F03515"/>
    <w:rsid w:val="00F03D61"/>
    <w:rsid w:val="00F05494"/>
    <w:rsid w:val="00F05CBB"/>
    <w:rsid w:val="00F0684C"/>
    <w:rsid w:val="00F10529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261D"/>
    <w:rsid w:val="00F93AE8"/>
    <w:rsid w:val="00F93B8F"/>
    <w:rsid w:val="00F940FA"/>
    <w:rsid w:val="00F94C59"/>
    <w:rsid w:val="00F963EB"/>
    <w:rsid w:val="00F96E35"/>
    <w:rsid w:val="00F974E9"/>
    <w:rsid w:val="00FA19DD"/>
    <w:rsid w:val="00FA6887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592B"/>
    <w:rsid w:val="00FE7691"/>
    <w:rsid w:val="00FF2864"/>
    <w:rsid w:val="00FF2CAD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C2BF"/>
  <w15:docId w15:val="{629D3916-BFA3-42B3-843F-E226C5BF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93D1-797F-40B7-9F80-BCAEC0C7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11480</TotalTime>
  <Pages>65</Pages>
  <Words>24992</Words>
  <Characters>142459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SERVERADMIN</cp:lastModifiedBy>
  <cp:revision>181</cp:revision>
  <cp:lastPrinted>2025-06-24T06:44:00Z</cp:lastPrinted>
  <dcterms:created xsi:type="dcterms:W3CDTF">2022-03-03T08:32:00Z</dcterms:created>
  <dcterms:modified xsi:type="dcterms:W3CDTF">2025-06-24T06:46:00Z</dcterms:modified>
</cp:coreProperties>
</file>