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B0BD0">
        <w:rPr>
          <w:szCs w:val="28"/>
        </w:rPr>
        <w:t>Приложение 1</w:t>
      </w:r>
      <w:r w:rsidR="001B0BD0" w:rsidRPr="001B0BD0">
        <w:rPr>
          <w:szCs w:val="28"/>
        </w:rPr>
        <w:t>3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 xml:space="preserve">к решению </w:t>
      </w:r>
      <w:proofErr w:type="spellStart"/>
      <w:r w:rsidRPr="00550B3E">
        <w:rPr>
          <w:szCs w:val="28"/>
        </w:rPr>
        <w:t>Ачинского</w:t>
      </w:r>
      <w:proofErr w:type="spellEnd"/>
      <w:r w:rsidRPr="00550B3E">
        <w:rPr>
          <w:szCs w:val="28"/>
        </w:rPr>
        <w:t xml:space="preserve"> районного Совета депутатов</w:t>
      </w:r>
    </w:p>
    <w:p w:rsidR="00A02E67" w:rsidRDefault="00A02E67" w:rsidP="00550B3E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>от 25.12.2023 № 30-238Р</w:t>
      </w:r>
      <w:bookmarkStart w:id="0" w:name="_GoBack"/>
      <w:bookmarkEnd w:id="0"/>
    </w:p>
    <w:p w:rsidR="007325A5" w:rsidRDefault="007325A5" w:rsidP="00550B3E">
      <w:pPr>
        <w:pStyle w:val="a3"/>
        <w:tabs>
          <w:tab w:val="left" w:pos="-2127"/>
        </w:tabs>
        <w:jc w:val="center"/>
        <w:rPr>
          <w:b/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EE5D13">
        <w:rPr>
          <w:b/>
          <w:szCs w:val="28"/>
        </w:rPr>
        <w:t>4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поддержку мер по обеспечению сбалансированности бюджетов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8F7CFF" w:rsidRPr="008F7CFF">
        <w:rPr>
          <w:szCs w:val="28"/>
        </w:rPr>
        <w:t>поддержку мер по обеспечению сбалансированности бюджетов</w:t>
      </w:r>
      <w:r>
        <w:rPr>
          <w:szCs w:val="28"/>
        </w:rPr>
        <w:t xml:space="preserve"> </w:t>
      </w:r>
      <w:r w:rsidRPr="004714B2">
        <w:rPr>
          <w:szCs w:val="28"/>
        </w:rPr>
        <w:t xml:space="preserve">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Дi=(Pi-ПДi-ФПi),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Pi –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как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текущий финансовый год с учетом изменения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 (без учета дополнительных расходов</w:t>
      </w:r>
      <w:r>
        <w:rPr>
          <w:szCs w:val="28"/>
        </w:rPr>
        <w:t>)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ПДi –прогнозируемый объем суммарных налоговых и неналоговых доходов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исходя из</w:t>
      </w:r>
      <w:r>
        <w:rPr>
          <w:szCs w:val="28"/>
        </w:rPr>
        <w:t xml:space="preserve"> </w:t>
      </w:r>
      <w:r w:rsidRPr="004714B2">
        <w:rPr>
          <w:szCs w:val="28"/>
        </w:rPr>
        <w:t>прогноза</w:t>
      </w:r>
      <w:r>
        <w:rPr>
          <w:szCs w:val="28"/>
        </w:rPr>
        <w:t>, рассчитанного финансовым управлением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ФПi – объем межбюджетных трансфертов из </w:t>
      </w:r>
      <w:r>
        <w:rPr>
          <w:szCs w:val="28"/>
        </w:rPr>
        <w:t>районного</w:t>
      </w:r>
      <w:r w:rsidRPr="004714B2">
        <w:rPr>
          <w:szCs w:val="28"/>
        </w:rPr>
        <w:t xml:space="preserve"> бюджета, предусмотренных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включающий в себя: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 поселений за счет средств</w:t>
      </w:r>
      <w:r w:rsidRPr="004714B2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714B2">
        <w:rPr>
          <w:szCs w:val="28"/>
        </w:rPr>
        <w:t xml:space="preserve"> район</w:t>
      </w:r>
      <w:r>
        <w:rPr>
          <w:szCs w:val="28"/>
        </w:rPr>
        <w:t>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</w:t>
      </w:r>
      <w:r w:rsidRPr="004714B2">
        <w:rPr>
          <w:szCs w:val="28"/>
        </w:rPr>
        <w:t xml:space="preserve"> поселений (субвенции на реализацию государственных полномочий по расчету и предоставлению дотаций поселениям, входящим в состав муниципального района края).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 случае если Дi принимает отрицательное значение, </w:t>
      </w:r>
      <w:r w:rsidR="00445236">
        <w:rPr>
          <w:szCs w:val="28"/>
        </w:rPr>
        <w:t>иной межбюджетный трансферт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не предоставляется.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Право на получение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имеют муниципальные образования, у которых уровень расчетной бюджетной обеспеченности после выравнивания на </w:t>
      </w:r>
      <w:r w:rsidRPr="001B0BD0">
        <w:rPr>
          <w:szCs w:val="28"/>
        </w:rPr>
        <w:t xml:space="preserve">планируемый </w:t>
      </w:r>
      <w:r w:rsidRPr="0089701B">
        <w:rPr>
          <w:szCs w:val="28"/>
        </w:rPr>
        <w:t>год не превышает 1,</w:t>
      </w:r>
      <w:r w:rsidR="00E752B1" w:rsidRPr="0089701B">
        <w:rPr>
          <w:szCs w:val="28"/>
        </w:rPr>
        <w:t>7</w:t>
      </w:r>
      <w:r w:rsidRPr="0089701B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2. Объем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в текущем финансовом году может быть изменен посредством внесения изменений в настоящ</w:t>
      </w:r>
      <w:r>
        <w:rPr>
          <w:szCs w:val="28"/>
        </w:rPr>
        <w:t>ее</w:t>
      </w:r>
      <w:r w:rsidRPr="004714B2">
        <w:rPr>
          <w:szCs w:val="28"/>
        </w:rPr>
        <w:t xml:space="preserve"> </w:t>
      </w:r>
      <w:r>
        <w:rPr>
          <w:szCs w:val="28"/>
        </w:rPr>
        <w:t>решение</w:t>
      </w:r>
      <w:r w:rsidRPr="004714B2">
        <w:rPr>
          <w:szCs w:val="28"/>
        </w:rPr>
        <w:t xml:space="preserve">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lastRenderedPageBreak/>
        <w:tab/>
      </w:r>
      <w:r w:rsidRPr="004714B2">
        <w:rPr>
          <w:szCs w:val="28"/>
        </w:rPr>
        <w:t xml:space="preserve">а) изменения оценки поступлений суммарных налоговых и неналоговых доходов бюджета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(учтенной при определении 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отчетный и текущий финансовый год), определенной с учетом фактического исполнения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;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б) 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расчетного объема расходов бюджетов муниципальных образований при определении 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содержания вновь создаваемых (реорганизуемых) муниципальных учреждений;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в целях компенсации дополнительных расходов, связанных с повышением тарифов на коммунальные услуги;</w:t>
      </w:r>
    </w:p>
    <w:p w:rsidR="00550B3E" w:rsidRPr="009C56B7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в) изменения объемов источников финансирования дефицита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по отношению к учтенным при определении объемов </w:t>
      </w:r>
      <w:r w:rsidR="00445236">
        <w:rPr>
          <w:szCs w:val="28"/>
        </w:rPr>
        <w:t>иных межбюджетных трансфертов</w:t>
      </w:r>
      <w:r w:rsidRPr="004714B2">
        <w:rPr>
          <w:szCs w:val="28"/>
        </w:rPr>
        <w:t xml:space="preserve"> на текущий финансовый год.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E7" w:rsidRDefault="00FC75E7">
      <w:r>
        <w:separator/>
      </w:r>
    </w:p>
  </w:endnote>
  <w:endnote w:type="continuationSeparator" w:id="0">
    <w:p w:rsidR="00FC75E7" w:rsidRDefault="00F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E7" w:rsidRDefault="00FC75E7">
      <w:r>
        <w:separator/>
      </w:r>
    </w:p>
  </w:footnote>
  <w:footnote w:type="continuationSeparator" w:id="0">
    <w:p w:rsidR="00FC75E7" w:rsidRDefault="00FC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FC75E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FC75E7">
    <w:pPr>
      <w:pStyle w:val="a5"/>
      <w:jc w:val="right"/>
    </w:pPr>
  </w:p>
  <w:p w:rsidR="00950348" w:rsidRDefault="00FC75E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C6727"/>
    <w:rsid w:val="0012245A"/>
    <w:rsid w:val="001243EB"/>
    <w:rsid w:val="001B0BD0"/>
    <w:rsid w:val="002A4AE3"/>
    <w:rsid w:val="002A5314"/>
    <w:rsid w:val="00415D62"/>
    <w:rsid w:val="00445236"/>
    <w:rsid w:val="00457710"/>
    <w:rsid w:val="00521CD1"/>
    <w:rsid w:val="00550B3E"/>
    <w:rsid w:val="0059086A"/>
    <w:rsid w:val="005E425F"/>
    <w:rsid w:val="006246C7"/>
    <w:rsid w:val="007325A5"/>
    <w:rsid w:val="007B6A26"/>
    <w:rsid w:val="007C7E03"/>
    <w:rsid w:val="0089701B"/>
    <w:rsid w:val="008F7CFF"/>
    <w:rsid w:val="00973747"/>
    <w:rsid w:val="009B19ED"/>
    <w:rsid w:val="009F5150"/>
    <w:rsid w:val="00A02E67"/>
    <w:rsid w:val="00AF37CC"/>
    <w:rsid w:val="00BF45FC"/>
    <w:rsid w:val="00C01AF3"/>
    <w:rsid w:val="00C953FF"/>
    <w:rsid w:val="00CA2B58"/>
    <w:rsid w:val="00CD2E08"/>
    <w:rsid w:val="00D443FE"/>
    <w:rsid w:val="00D7678B"/>
    <w:rsid w:val="00DF5D0F"/>
    <w:rsid w:val="00E31A46"/>
    <w:rsid w:val="00E752B1"/>
    <w:rsid w:val="00EE5D13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CD2E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rodina</cp:lastModifiedBy>
  <cp:revision>25</cp:revision>
  <cp:lastPrinted>2022-11-14T06:39:00Z</cp:lastPrinted>
  <dcterms:created xsi:type="dcterms:W3CDTF">2017-11-10T07:45:00Z</dcterms:created>
  <dcterms:modified xsi:type="dcterms:W3CDTF">2023-12-25T06:04:00Z</dcterms:modified>
</cp:coreProperties>
</file>